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/>
      </w:pPr>
      <w:r>
        <w:rPr>
          <w:b/>
          <w:bCs/>
          <w:color w:val="A13434"/>
          <w:sz w:val="16"/>
          <w:szCs w:val="16"/>
        </w:rPr>
        <w:t xml:space="preserve">PROPOSED EXTENSION — FOR REVIEW, NOT YET MERGED</w:t>
      </w:r>
    </w:p>
    <w:p>
      <w:pPr>
        <w:spacing w:after="50" w:before="0"/>
      </w:pPr>
      <w:r>
        <w:rPr>
          <w:b/>
          <w:bCs/>
          <w:color w:val="14213D"/>
          <w:sz w:val="30"/>
          <w:szCs w:val="30"/>
        </w:rPr>
        <w:t xml:space="preserve">Streaming Voice Training Capacity</w:t>
      </w:r>
    </w:p>
    <w:p>
      <w:pPr>
        <w:pBdr>
          <w:bottom w:val="single" w:color="14213D" w:sz="8" w:space="5"/>
        </w:pBdr>
        <w:spacing w:after="140"/>
      </w:pPr>
      <w:r>
        <w:rPr>
          <w:i/>
          <w:iCs/>
          <w:color w:val="595959"/>
          <w:sz w:val="17"/>
          <w:szCs w:val="17"/>
        </w:rPr>
        <w:t xml:space="preserve">Extends Document 17 §17.4a (Extraction) and §17.4c (Invention) only. Trains the capability that a future telephony service would consume — does not spec the deployed service, its live-call governance, or a custody-per-turn model. Everything below is PROPOSED pending Owner ruling; nothing here is CANON until merged.</w:t>
      </w:r>
    </w:p>
    <w:p>
      <w:pPr>
        <w:spacing w:after="70" w:before="240"/>
      </w:pPr>
      <w:r>
        <w:rPr>
          <w:b/>
          <w:bCs/>
          <w:color w:val="14213D"/>
          <w:sz w:val="22"/>
          <w:szCs w:val="22"/>
        </w:rPr>
        <w:t xml:space="preserve">1 · Scope, restated precisely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7"/>
          <w:szCs w:val="17"/>
        </w:rPr>
        <w:t xml:space="preserve">In scope: what Document 17's training engine must additionally produce — streaming-capable extraction, real-time-capable synthesis — so the resulting models could power a telephony service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7"/>
          <w:szCs w:val="17"/>
        </w:rPr>
        <w:t xml:space="preserve">Out of scope: the deployed voice agent itself, live-call custody/entitlement checking, dialogue management, telephony transport selection (Pipecat/LiveKit/carrier). Those depend on this capability existing; they are not this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7"/>
          <w:szCs w:val="17"/>
        </w:rPr>
        <w:t xml:space="preserve">Leverages, does not replace: Document 20's existing text-dimension candidates (Qwen3, Llama) stay fixed as the reasoning layer. This document adds the voice I/O layer around them.</w:t>
      </w:r>
    </w:p>
    <w:p>
      <w:pPr>
        <w:spacing w:after="70" w:before="240"/>
      </w:pPr>
      <w:r>
        <w:rPr>
          <w:b/>
          <w:bCs/>
          <w:color w:val="14213D"/>
          <w:sz w:val="22"/>
          <w:szCs w:val="22"/>
        </w:rPr>
        <w:t xml:space="preserve">2 · Extends §17.4a — Streaming Extraction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1A1A1A"/>
          <w:sz w:val="17"/>
          <w:szCs w:val="17"/>
        </w:rPr>
        <w:t xml:space="preserve">A distinct mode from the existing batch extraction, not a replacement for it. Same tokenized representation — content/character stream split, language-ID and code-switch detection — running incrementally on partial audio rather than a complete file after the fact.</w:t>
      </w:r>
    </w:p>
    <w:p>
      <w:pPr>
        <w:spacing w:after="40"/>
      </w:pPr>
      <w:r>
        <w:rPr>
          <w:b/>
          <w:bCs/>
          <w:color w:val="14213D"/>
          <w:sz w:val="17"/>
          <w:szCs w:val="17"/>
        </w:rPr>
        <w:t xml:space="preserve">SE-1  </w:t>
      </w:r>
      <w:r>
        <w:rPr>
          <w:b/>
          <w:bCs/>
          <w:color w:val="8A5A00"/>
          <w:sz w:val="15"/>
          <w:szCs w:val="15"/>
        </w:rPr>
        <w:t xml:space="preserve">[PROPOSED] </w:t>
      </w:r>
      <w:r>
        <w:rPr>
          <w:b/>
          <w:bCs/>
          <w:color w:val="1A1A1A"/>
          <w:sz w:val="17"/>
          <w:szCs w:val="17"/>
        </w:rPr>
        <w:t xml:space="preserve">Streaming extraction is a named second mode of §17.4a, sharing its tokenized representation and Character Register outputs.</w:t>
      </w:r>
    </w:p>
    <w:p>
      <w:pPr>
        <w:spacing w:after="100"/>
      </w:pPr>
      <w:r>
        <w:rPr>
          <w:b w:val="false"/>
          <w:bCs w:val="false"/>
          <w:i/>
          <w:iCs/>
          <w:color w:val="595959"/>
          <w:sz w:val="17"/>
          <w:szCs w:val="17"/>
        </w:rPr>
        <w:t xml:space="preserve">The codec, language-ID, and code-switch detection already specified for archive extraction apply unchanged to streaming input — what changes is that they run on a rolling window of partial audio, not a complete file. No new extraction concept, a new operating mode of the existing one.</w:t>
      </w:r>
    </w:p>
    <w:p>
      <w:pPr>
        <w:spacing w:after="40"/>
      </w:pPr>
      <w:r>
        <w:rPr>
          <w:b/>
          <w:bCs/>
          <w:color w:val="14213D"/>
          <w:sz w:val="17"/>
          <w:szCs w:val="17"/>
        </w:rPr>
        <w:t xml:space="preserve">SE-2  </w:t>
      </w:r>
      <w:r>
        <w:rPr>
          <w:b/>
          <w:bCs/>
          <w:color w:val="8A5A00"/>
          <w:sz w:val="15"/>
          <w:szCs w:val="15"/>
        </w:rPr>
        <w:t xml:space="preserve">[PROPOSED] </w:t>
      </w:r>
      <w:r>
        <w:rPr>
          <w:b/>
          <w:bCs/>
          <w:color w:val="1A1A1A"/>
          <w:sz w:val="17"/>
          <w:szCs w:val="17"/>
        </w:rPr>
        <w:t xml:space="preserve">Candidate: NVIDIA Nemotron ASR Streaming — cache-aware architecture, 40 language-locales in a single 600M-parameter model, language-ID conditioning built in.</w:t>
      </w:r>
    </w:p>
    <w:p>
      <w:pPr>
        <w:spacing w:after="100"/>
      </w:pPr>
      <w:r>
        <w:rPr>
          <w:b w:val="false"/>
          <w:bCs w:val="false"/>
          <w:i/>
          <w:iCs/>
          <w:color w:val="595959"/>
          <w:sz w:val="17"/>
          <w:szCs w:val="17"/>
        </w:rPr>
        <w:t xml:space="preserve">Directly compatible with §17.4a's existing language-ID and code-switch work — the model's own conditioning mechanism is the same kind of signal this document already requires. Named the strongest real-time streaming candidate in an independent 50-configuration benchmark (Microsoft, April 2026).</w:t>
      </w:r>
    </w:p>
    <w:p>
      <w:pPr>
        <w:spacing w:after="40"/>
      </w:pPr>
      <w:r>
        <w:rPr>
          <w:b/>
          <w:bCs/>
          <w:color w:val="14213D"/>
          <w:sz w:val="17"/>
          <w:szCs w:val="17"/>
        </w:rPr>
        <w:t xml:space="preserve">SE-3  </w:t>
      </w:r>
      <w:r>
        <w:rPr>
          <w:b/>
          <w:bCs/>
          <w:color w:val="8A5A00"/>
          <w:sz w:val="15"/>
          <w:szCs w:val="15"/>
        </w:rPr>
        <w:t xml:space="preserve">[PROPOSED] </w:t>
      </w:r>
      <w:r>
        <w:rPr>
          <w:b/>
          <w:bCs/>
          <w:color w:val="1A1A1A"/>
          <w:sz w:val="17"/>
          <w:szCs w:val="17"/>
        </w:rPr>
        <w:t xml:space="preserve">Qwen3-ASR is not proposed for this mode — named here to close the question, not leave it implicit.</w:t>
      </w:r>
    </w:p>
    <w:p>
      <w:pPr>
        <w:spacing w:after="100"/>
      </w:pPr>
      <w:r>
        <w:rPr>
          <w:b w:val="false"/>
          <w:bCs w:val="false"/>
          <w:i/>
          <w:iCs/>
          <w:color w:val="595959"/>
          <w:sz w:val="17"/>
          <w:szCs w:val="17"/>
        </w:rPr>
        <w:t xml:space="preserve">Highest raw accuracy among models compared (5.90% WER) and a reasonable candidate for §17.4a's existing batch/archive extraction, where it already fits alongside Document 20's other Qwen-family candidates. The same benchmark that measured it flags it as fundamentally batch-oriented, not streaming-native — stated plainly so it isn't assumed to cover both modes by default.</w:t>
      </w:r>
    </w:p>
    <w:p>
      <w:pPr>
        <w:spacing w:after="40"/>
      </w:pPr>
      <w:r>
        <w:rPr>
          <w:b/>
          <w:bCs/>
          <w:color w:val="14213D"/>
          <w:sz w:val="17"/>
          <w:szCs w:val="17"/>
        </w:rPr>
        <w:t xml:space="preserve">SE-4  </w:t>
      </w:r>
      <w:r>
        <w:rPr>
          <w:b/>
          <w:bCs/>
          <w:color w:val="8A5A00"/>
          <w:sz w:val="15"/>
          <w:szCs w:val="15"/>
        </w:rPr>
        <w:t xml:space="preserve">[PROPOSED] </w:t>
      </w:r>
      <w:r>
        <w:rPr>
          <w:b/>
          <w:bCs/>
          <w:color w:val="1A1A1A"/>
          <w:sz w:val="17"/>
          <w:szCs w:val="17"/>
        </w:rPr>
        <w:t xml:space="preserve">Methodology, not a model: target a compact model tuned through rigorous register normalization against the Character Register, following the precedent that closed the same gap for a different low-resource language.</w:t>
      </w:r>
    </w:p>
    <w:p>
      <w:pPr>
        <w:spacing w:after="100"/>
      </w:pPr>
      <w:r>
        <w:rPr>
          <w:b w:val="false"/>
          <w:bCs w:val="false"/>
          <w:i/>
          <w:iCs/>
          <w:color w:val="595959"/>
          <w:sz w:val="17"/>
          <w:szCs w:val="17"/>
        </w:rPr>
        <w:t xml:space="preserve">A 115M-parameter model matched Whisper-Large-v3 accuracy on Thai — a low-resource language — at 45× less compute, through careful text normalization rather than scale. The Character Register (§17.4b) already exists as exactly this kind of normalization substrate for Swahili/Sheng; the same approach is the target methodology here, not a specific model to import.</w:t>
      </w:r>
    </w:p>
    <w:p>
      <w:pPr>
        <w:spacing w:after="70" w:before="240"/>
      </w:pPr>
      <w:r>
        <w:rPr>
          <w:b/>
          <w:bCs/>
          <w:color w:val="14213D"/>
          <w:sz w:val="22"/>
          <w:szCs w:val="22"/>
        </w:rPr>
        <w:t xml:space="preserve">3 · Extends §17.4c — Real-Time Invention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1A1A1A"/>
          <w:sz w:val="17"/>
          <w:szCs w:val="17"/>
        </w:rPr>
        <w:t xml:space="preserve">This section is the trigger, not a rewrite. §17.4c's scope note already states rendering is “explicitly Phase 2” and requires a separate synthesis stack. A telephony-service objective is exactly the kind of commission that note was written to gate — this section proposes activating it, not changing what it says.</w:t>
      </w:r>
    </w:p>
    <w:p>
      <w:pPr>
        <w:spacing w:after="40"/>
      </w:pPr>
      <w:r>
        <w:rPr>
          <w:b/>
          <w:bCs/>
          <w:color w:val="14213D"/>
          <w:sz w:val="17"/>
          <w:szCs w:val="17"/>
        </w:rPr>
        <w:t xml:space="preserve">RI-1  </w:t>
      </w:r>
      <w:r>
        <w:rPr>
          <w:b/>
          <w:bCs/>
          <w:color w:val="8A5A00"/>
          <w:sz w:val="15"/>
          <w:szCs w:val="15"/>
        </w:rPr>
        <w:t xml:space="preserve">[PROPOSED] </w:t>
      </w:r>
      <w:r>
        <w:rPr>
          <w:b/>
          <w:bCs/>
          <w:color w:val="1A1A1A"/>
          <w:sz w:val="17"/>
          <w:szCs w:val="17"/>
        </w:rPr>
        <w:t xml:space="preserve">A telephony-service objective is the Phase 2 trigger §17.4c already named.</w:t>
      </w:r>
    </w:p>
    <w:p>
      <w:pPr>
        <w:spacing w:after="100"/>
      </w:pPr>
      <w:r>
        <w:rPr>
          <w:b w:val="false"/>
          <w:bCs w:val="false"/>
          <w:i/>
          <w:iCs/>
          <w:color w:val="595959"/>
          <w:sz w:val="17"/>
          <w:szCs w:val="17"/>
        </w:rPr>
        <w:t xml:space="preserve">No change to §17.4c's own text. This is confirmation that the condition it was waiting on — a real objective needing rendering — has arrived, not a redefinition of when Phase 2 starts.</w:t>
      </w:r>
    </w:p>
    <w:p>
      <w:pPr>
        <w:spacing w:after="40"/>
      </w:pPr>
      <w:r>
        <w:rPr>
          <w:b/>
          <w:bCs/>
          <w:color w:val="14213D"/>
          <w:sz w:val="17"/>
          <w:szCs w:val="17"/>
        </w:rPr>
        <w:t xml:space="preserve">RI-2  </w:t>
      </w:r>
      <w:r>
        <w:rPr>
          <w:b/>
          <w:bCs/>
          <w:color w:val="8A5A00"/>
          <w:sz w:val="15"/>
          <w:szCs w:val="15"/>
        </w:rPr>
        <w:t xml:space="preserve">[PROPOSED] </w:t>
      </w:r>
      <w:r>
        <w:rPr>
          <w:b/>
          <w:bCs/>
          <w:color w:val="1A1A1A"/>
          <w:sz w:val="17"/>
          <w:szCs w:val="17"/>
        </w:rPr>
        <w:t xml:space="preserve">The distance guarantee and certificate are unchanged by real-time rendering — stated explicitly so it isn't assumed to need rework.</w:t>
      </w:r>
    </w:p>
    <w:p>
      <w:pPr>
        <w:spacing w:after="100"/>
      </w:pPr>
      <w:r>
        <w:rPr>
          <w:b w:val="false"/>
          <w:bCs w:val="false"/>
          <w:i/>
          <w:iCs/>
          <w:color w:val="595959"/>
          <w:sz w:val="17"/>
          <w:szCs w:val="17"/>
        </w:rPr>
        <w:t xml:space="preserve">§17.4c's fail-closed distance gate runs once, at identity construction, before any use. Real-time synthesis consumes an already-certified identity to generate audio faster; it does not re-run the distance check per utterance. The safety mechanism doesn't change — only the rendering engine's speed does.</w:t>
      </w:r>
    </w:p>
    <w:p>
      <w:pPr>
        <w:spacing w:after="40"/>
      </w:pPr>
      <w:r>
        <w:rPr>
          <w:b/>
          <w:bCs/>
          <w:color w:val="14213D"/>
          <w:sz w:val="17"/>
          <w:szCs w:val="17"/>
        </w:rPr>
        <w:t xml:space="preserve">RI-3  </w:t>
      </w:r>
      <w:r>
        <w:rPr>
          <w:b/>
          <w:bCs/>
          <w:color w:val="8A5A00"/>
          <w:sz w:val="15"/>
          <w:szCs w:val="15"/>
        </w:rPr>
        <w:t xml:space="preserve">[PROPOSED] </w:t>
      </w:r>
      <w:r>
        <w:rPr>
          <w:b/>
          <w:bCs/>
          <w:color w:val="1A1A1A"/>
          <w:sz w:val="17"/>
          <w:szCs w:val="17"/>
        </w:rPr>
        <w:t xml:space="preserve">Candidates — Qwen3-TTS, CosyVoice2-0.5B, Chatterbox.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7"/>
          <w:szCs w:val="17"/>
        </w:rPr>
        <w:t xml:space="preserve">Qwen3-TTS — same publisher family already trusted for text (Document 20 A20.1) and vision (A20.7). Measured, not marketed: ≈80ms audible onset in independent benchmarking.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7"/>
          <w:szCs w:val="17"/>
        </w:rPr>
        <w:t xml:space="preserve">CosyVoice2-0.5B — ≈150ms streaming latency, one of the top-rated open real-time options generally.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7"/>
          <w:szCs w:val="17"/>
        </w:rPr>
        <w:t xml:space="preserve">Chatterbox (Resemble AI) — sub-200ms, and ships audio watermarked by default. Worth naming for the precedent, not just the latency: an independent “provably synthetic” marker on every output is the same spirit as §17.4c's own certificate, arrived at from a different angle.</w:t>
      </w:r>
    </w:p>
    <w:p>
      <w:pPr>
        <w:spacing w:after="40"/>
      </w:pPr>
      <w:r>
        <w:rPr>
          <w:b/>
          <w:bCs/>
          <w:color w:val="14213D"/>
          <w:sz w:val="17"/>
          <w:szCs w:val="17"/>
        </w:rPr>
        <w:t xml:space="preserve">RI-4  </w:t>
      </w:r>
      <w:r>
        <w:rPr>
          <w:b/>
          <w:bCs/>
          <w:color w:val="8A5A00"/>
          <w:sz w:val="15"/>
          <w:szCs w:val="15"/>
        </w:rPr>
        <w:t xml:space="preserve">[PROPOSED] </w:t>
      </w:r>
      <w:r>
        <w:rPr>
          <w:b/>
          <w:bCs/>
          <w:color w:val="1A1A1A"/>
          <w:sz w:val="17"/>
          <w:szCs w:val="17"/>
        </w:rPr>
        <w:t xml:space="preserve">Orchestration: cascaded ASR → LLM → TTS, not integrated speech-to-speech.</w:t>
      </w:r>
    </w:p>
    <w:p>
      <w:pPr>
        <w:spacing w:after="100"/>
      </w:pPr>
      <w:r>
        <w:rPr>
          <w:b w:val="false"/>
          <w:bCs w:val="false"/>
          <w:i/>
          <w:iCs/>
          <w:color w:val="595959"/>
          <w:sz w:val="17"/>
          <w:szCs w:val="17"/>
        </w:rPr>
        <w:t xml:space="preserve">Cascaded pipelines still outperform integrated speech-to-speech models in production as of 2026, per dedicated comparison — not a marginal call. This matters architecturally, not just for quality: a cascaded pipeline keeps the LLM stage a separate, addressable step, which is what lets it route through Document 1's existing chokepoint. A fused speech-to-speech model would not offer an equivalent seam — governance would have no clean point of entry.</w:t>
      </w:r>
    </w:p>
    <w:p>
      <w:pPr>
        <w:spacing w:after="70" w:before="240"/>
      </w:pPr>
      <w:r>
        <w:rPr>
          <w:b/>
          <w:bCs/>
          <w:color w:val="14213D"/>
          <w:sz w:val="22"/>
          <w:szCs w:val="22"/>
        </w:rPr>
        <w:t xml:space="preserve">4 · TargetOutcome extension — latency as a calibrated dimension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1A1A1A"/>
          <w:sz w:val="17"/>
          <w:szCs w:val="17"/>
        </w:rPr>
        <w:t xml:space="preserve">The schema already carries a constraints.latency field (Document 17 §17.3). This does not add a field — it adds a rule for how that field is treated when the objective is streaming-classed.</w:t>
      </w:r>
    </w:p>
    <w:p>
      <w:pPr>
        <w:shd w:fill="F4F5F7" w:color="auto" w:val="clear"/>
        <w:spacing w:after="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For task class = streaming:</w:t>
      </w:r>
    </w:p>
    <w:p>
      <w:pPr>
        <w:shd w:fill="F4F5F7" w:color="auto" w:val="clear"/>
        <w:spacing w:after="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constraints.latency is promoted from a soft bound</w:t>
      </w:r>
    </w:p>
    <w:p>
      <w:pPr>
        <w:shd w:fill="F4F5F7" w:color="auto" w:val="clear"/>
        <w:spacing w:after="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to a third calibrated acceptance dimension, measured</w:t>
      </w:r>
    </w:p>
    <w:p>
      <w:pPr>
        <w:shd w:fill="F4F5F7" w:color="auto" w:val="clear"/>
        <w:spacing w:after="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and gated per stratum alongside accuracy × coverage —</w:t>
      </w:r>
    </w:p>
    <w:p>
      <w:pPr>
        <w:shd w:fill="F4F5F7" w:color="auto" w:val="clear"/>
        <w:spacing w:after="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not merely filtered against after the fact.</w:t>
      </w:r>
    </w:p>
    <w:p>
      <w:pPr>
        <w:spacing w:after="40"/>
      </w:pPr>
      <w:r>
        <w:rPr>
          <w:b/>
          <w:bCs/>
          <w:color w:val="14213D"/>
          <w:sz w:val="17"/>
          <w:szCs w:val="17"/>
        </w:rPr>
        <w:t xml:space="preserve">LT-1  </w:t>
      </w:r>
      <w:r>
        <w:rPr>
          <w:b/>
          <w:bCs/>
          <w:color w:val="8A5A00"/>
          <w:sz w:val="15"/>
          <w:szCs w:val="15"/>
        </w:rPr>
        <w:t xml:space="preserve">[PROPOSED] </w:t>
      </w:r>
      <w:r>
        <w:rPr>
          <w:b/>
          <w:bCs/>
          <w:color w:val="1A1A1A"/>
          <w:sz w:val="17"/>
          <w:szCs w:val="17"/>
        </w:rPr>
        <w:t xml:space="preserve">A technically accurate result that arrives late has failed the objective, not merely underperformed a preference.</w:t>
      </w:r>
    </w:p>
    <w:p>
      <w:pPr>
        <w:spacing w:after="100"/>
      </w:pPr>
      <w:r>
        <w:rPr>
          <w:b w:val="false"/>
          <w:bCs w:val="false"/>
          <w:i/>
          <w:iCs/>
          <w:color w:val="595959"/>
          <w:sz w:val="17"/>
          <w:szCs w:val="17"/>
        </w:rPr>
        <w:t xml:space="preserve">For a telephony use case specifically, this is the honest framing: a correct transcript delivered two seconds late doesn't clear a lower bar, it fails the objective the same way a wrong transcript would. Treating latency as a soft constraint understates that.</w:t>
      </w:r>
    </w:p>
    <w:p>
      <w:pPr>
        <w:spacing w:after="40"/>
      </w:pPr>
      <w:r>
        <w:rPr>
          <w:b/>
          <w:bCs/>
          <w:color w:val="14213D"/>
          <w:sz w:val="17"/>
          <w:szCs w:val="17"/>
        </w:rPr>
        <w:t xml:space="preserve">LT-2  </w:t>
      </w:r>
      <w:r>
        <w:rPr>
          <w:b/>
          <w:bCs/>
          <w:color w:val="A13434"/>
          <w:sz w:val="15"/>
          <w:szCs w:val="15"/>
        </w:rPr>
        <w:t xml:space="preserve">[OPEN] </w:t>
      </w:r>
      <w:r>
        <w:rPr>
          <w:b/>
          <w:bCs/>
          <w:color w:val="1A1A1A"/>
          <w:sz w:val="17"/>
          <w:szCs w:val="17"/>
        </w:rPr>
        <w:t xml:space="preserve">The actual latency threshold is not set here.</w:t>
      </w:r>
    </w:p>
    <w:p>
      <w:pPr>
        <w:spacing w:after="100"/>
      </w:pPr>
      <w:r>
        <w:rPr>
          <w:b w:val="false"/>
          <w:bCs w:val="false"/>
          <w:i/>
          <w:iCs/>
          <w:color w:val="595959"/>
          <w:sz w:val="17"/>
          <w:szCs w:val="17"/>
        </w:rPr>
        <w:t xml:space="preserve">I don't have canon grounding for a specific number and am not inventing one. This needs either a real Owner-set target or a calibration run against real call material to derive one — the same “measure, don't assert” discipline §1.4 already requires elsewhere.</w:t>
      </w:r>
    </w:p>
    <w:p>
      <w:pPr>
        <w:spacing w:after="40"/>
      </w:pPr>
      <w:r>
        <w:rPr>
          <w:b/>
          <w:bCs/>
          <w:color w:val="14213D"/>
          <w:sz w:val="17"/>
          <w:szCs w:val="17"/>
        </w:rPr>
        <w:t xml:space="preserve">LT-3  </w:t>
      </w:r>
      <w:r>
        <w:rPr>
          <w:b/>
          <w:bCs/>
          <w:color w:val="A13434"/>
          <w:sz w:val="15"/>
          <w:szCs w:val="15"/>
        </w:rPr>
        <w:t xml:space="preserve">[OPEN] </w:t>
      </w:r>
      <w:r>
        <w:rPr>
          <w:b/>
          <w:bCs/>
          <w:color w:val="1A1A1A"/>
          <w:sz w:val="17"/>
          <w:szCs w:val="17"/>
        </w:rPr>
        <w:t xml:space="preserve">Calibration corpus for streaming objectives is unaddressed.</w:t>
      </w:r>
    </w:p>
    <w:p>
      <w:pPr>
        <w:spacing w:after="100"/>
      </w:pPr>
      <w:r>
        <w:rPr>
          <w:b w:val="false"/>
          <w:bCs w:val="false"/>
          <w:i/>
          <w:iCs/>
          <w:color w:val="595959"/>
          <w:sz w:val="17"/>
          <w:szCs w:val="17"/>
        </w:rPr>
        <w:t xml:space="preserve">§17.3's calibration stage assumes archive material to train and evaluate against. Whether a streaming-representative corpus already exists, or needs new collection distinct from the archive, is not answered by anything in Document 17 as it stands.</w:t>
      </w:r>
    </w:p>
    <w:sectPr>
      <w:footerReference w:type="default" r:id="rId7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DD3" w:sz="4" w:space="4"/>
      </w:pBdr>
      <w:jc w:val="center"/>
    </w:pPr>
    <w:r>
      <w:rPr>
        <w:i/>
        <w:iCs/>
        <w:color w:val="595959"/>
        <w:sz w:val="13"/>
        <w:szCs w:val="13"/>
      </w:rPr>
      <w:t xml:space="preserve">Streaming Voice Training Capacity · Proposed extension to Document 17 §17.4a / §17.4c · Not yet merged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2026-08-28T14:41:03.554Z</dcterms:created>
  <dcterms:modified xsi:type="dcterms:W3CDTF">2026-08-28T14:41:03.567Z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