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E56A0"/>
          <w:sz w:val="18"/>
          <w:szCs w:val="18"/>
        </w:rPr>
        <w:t xml:space="preserve">AKKI PLATFORM  ·  GOVERNANCE SPECIFICATION</w:t>
      </w:r>
    </w:p>
    <w:p>
      <w:pPr>
        <w:spacing w:after="60"/>
      </w:pPr>
      <w:r>
        <w:rPr>
          <w:rFonts w:ascii="Cambria" w:cs="Cambria" w:eastAsia="Cambria" w:hAnsi="Cambria"/>
          <w:b/>
          <w:bCs/>
          <w:color w:val="12294E"/>
          <w:sz w:val="40"/>
          <w:szCs w:val="40"/>
        </w:rPr>
        <w:t xml:space="preserve">Rule Origination &amp; Classification Criteria</w:t>
      </w:r>
    </w:p>
    <w:p>
      <w:pPr>
        <w:pBdr>
          <w:bottom w:val="single" w:color="12294E" w:sz="10" w:space="6"/>
        </w:pBdr>
        <w:spacing w:after="170"/>
      </w:pPr>
      <w:r>
        <w:rPr>
          <w:rFonts w:ascii="Calibri" w:cs="Calibri" w:eastAsia="Calibri" w:hAnsi="Calibri"/>
          <w:color w:val="55606E"/>
          <w:sz w:val="24"/>
          <w:szCs w:val="24"/>
        </w:rPr>
        <w:t xml:space="preserve">rule_criteria_spec_v1 — Draft for owner ratification</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2400"/>
        <w:gridCol w:w="6960"/>
      </w:tblGrid>
      <w:tr>
        <w:trPr>
          <w:tblHeader/>
        </w:trPr>
        <w:tc>
          <w:tcPr>
            <w:tcW w:type="dxa" w:w="2400"/>
            <w:shd w:fill="12294E" w:val="clear"/>
            <w:tcMar>
              <w:top w:type="dxa" w:w="80"/>
              <w:left w:type="dxa" w:w="110"/>
              <w:bottom w:type="dxa" w:w="80"/>
              <w:right w:type="dxa" w:w="110"/>
            </w:tcMar>
            <w:vAlign w:val="center"/>
          </w:tcPr>
          <w:p>
            <w:pPr>
              <w:spacing w:after="0" w:line="254"/>
            </w:pPr>
            <w:r>
              <w:rPr>
                <w:rFonts w:ascii="Calibri" w:cs="Calibri" w:eastAsia="Calibri" w:hAnsi="Calibri"/>
                <w:b/>
                <w:bCs/>
                <w:color w:val="FFFFFF"/>
                <w:sz w:val="18"/>
                <w:szCs w:val="18"/>
              </w:rPr>
              <w:t xml:space="preserve">Governs</w:t>
            </w:r>
          </w:p>
        </w:tc>
        <w:tc>
          <w:tcPr>
            <w:tcW w:type="dxa" w:w="6960"/>
            <w:shd w:fill="12294E" w:val="clear"/>
            <w:tcMar>
              <w:top w:type="dxa" w:w="80"/>
              <w:left w:type="dxa" w:w="110"/>
              <w:bottom w:type="dxa" w:w="80"/>
              <w:right w:type="dxa" w:w="110"/>
            </w:tcMar>
            <w:vAlign w:val="center"/>
          </w:tcPr>
          <w:p>
            <w:pPr>
              <w:spacing w:after="0" w:line="254"/>
            </w:pPr>
            <w:r>
              <w:rPr>
                <w:rFonts w:ascii="Calibri" w:cs="Calibri" w:eastAsia="Calibri" w:hAnsi="Calibri"/>
                <w:b/>
                <w:bCs/>
                <w:color w:val="FFFFFF"/>
                <w:sz w:val="18"/>
                <w:szCs w:val="18"/>
              </w:rPr>
              <w:t xml:space="preserve">The platform's system rules — every rule in force prior to, and independent of, any customer relationship.</w:t>
            </w:r>
          </w:p>
        </w:tc>
      </w:tr>
      <w:tr>
        <w:trPr>
          <w:tblHeader w:val="false"/>
        </w:trPr>
        <w:tc>
          <w:tcPr>
            <w:tcW w:type="dxa" w:w="2400"/>
            <w:tcMar>
              <w:top w:type="dxa" w:w="80"/>
              <w:left w:type="dxa" w:w="110"/>
              <w:bottom w:type="dxa" w:w="80"/>
              <w:right w:type="dxa" w:w="110"/>
            </w:tcMar>
            <w:vAlign w:val="center"/>
          </w:tcPr>
          <w:p>
            <w:pPr>
              <w:spacing w:after="0" w:line="254"/>
            </w:pPr>
            <w:r>
              <w:rPr>
                <w:rFonts w:ascii="Calibri" w:cs="Calibri" w:eastAsia="Calibri" w:hAnsi="Calibri"/>
                <w:b/>
                <w:bCs/>
                <w:color w:val="12294E"/>
                <w:sz w:val="18"/>
                <w:szCs w:val="18"/>
              </w:rPr>
              <w:t xml:space="preserve">Excludes</w:t>
            </w:r>
          </w:p>
        </w:tc>
        <w:tc>
          <w:tcPr>
            <w:tcW w:type="dxa" w:w="6960"/>
            <w:tcMar>
              <w:top w:type="dxa" w:w="80"/>
              <w:left w:type="dxa" w:w="110"/>
              <w:bottom w:type="dxa" w:w="80"/>
              <w:right w:type="dxa" w:w="110"/>
            </w:tcMar>
            <w:vAlign w:val="center"/>
          </w:tcPr>
          <w:p>
            <w:pPr>
              <w:spacing w:after="0" w:line="254"/>
            </w:pPr>
            <w:r>
              <w:rPr>
                <w:rFonts w:ascii="Calibri" w:cs="Calibri" w:eastAsia="Calibri" w:hAnsi="Calibri"/>
                <w:b w:val="false"/>
                <w:bCs w:val="false"/>
                <w:color w:val="222222"/>
                <w:sz w:val="18"/>
                <w:szCs w:val="18"/>
              </w:rPr>
              <w:t xml:space="preserve">Customer-authored rule books (§8).</w:t>
            </w:r>
          </w:p>
        </w:tc>
      </w:tr>
      <w:tr>
        <w:trPr>
          <w:tblHeader w:val="false"/>
        </w:trPr>
        <w:tc>
          <w:tcPr>
            <w:tcW w:type="dxa" w:w="2400"/>
            <w:tcMar>
              <w:top w:type="dxa" w:w="80"/>
              <w:left w:type="dxa" w:w="110"/>
              <w:bottom w:type="dxa" w:w="80"/>
              <w:right w:type="dxa" w:w="110"/>
            </w:tcMar>
            <w:vAlign w:val="center"/>
          </w:tcPr>
          <w:p>
            <w:pPr>
              <w:spacing w:after="0" w:line="254"/>
            </w:pPr>
            <w:r>
              <w:rPr>
                <w:rFonts w:ascii="Calibri" w:cs="Calibri" w:eastAsia="Calibri" w:hAnsi="Calibri"/>
                <w:b/>
                <w:bCs/>
                <w:color w:val="12294E"/>
                <w:sz w:val="18"/>
                <w:szCs w:val="18"/>
              </w:rPr>
              <w:t xml:space="preserve">Origination</w:t>
            </w:r>
          </w:p>
        </w:tc>
        <w:tc>
          <w:tcPr>
            <w:tcW w:type="dxa" w:w="6960"/>
            <w:tcMar>
              <w:top w:type="dxa" w:w="80"/>
              <w:left w:type="dxa" w:w="110"/>
              <w:bottom w:type="dxa" w:w="80"/>
              <w:right w:type="dxa" w:w="110"/>
            </w:tcMar>
            <w:vAlign w:val="center"/>
          </w:tcPr>
          <w:p>
            <w:pPr>
              <w:spacing w:after="0" w:line="254"/>
            </w:pPr>
            <w:r>
              <w:rPr>
                <w:rFonts w:ascii="Calibri" w:cs="Calibri" w:eastAsia="Calibri" w:hAnsi="Calibri"/>
                <w:b w:val="false"/>
                <w:bCs w:val="false"/>
                <w:color w:val="222222"/>
                <w:sz w:val="18"/>
                <w:szCs w:val="18"/>
              </w:rPr>
              <w:t xml:space="preserve">Drafted to Owner brief, 1 September 2026. ROC-2 derives from the standing principle at Document 17 §17.2.</w:t>
            </w:r>
          </w:p>
        </w:tc>
      </w:tr>
      <w:tr>
        <w:trPr>
          <w:tblHeader w:val="false"/>
        </w:trPr>
        <w:tc>
          <w:tcPr>
            <w:tcW w:type="dxa" w:w="2400"/>
            <w:tcMar>
              <w:top w:type="dxa" w:w="80"/>
              <w:left w:type="dxa" w:w="110"/>
              <w:bottom w:type="dxa" w:w="80"/>
              <w:right w:type="dxa" w:w="110"/>
            </w:tcMar>
            <w:vAlign w:val="center"/>
          </w:tcPr>
          <w:p>
            <w:pPr>
              <w:spacing w:after="0" w:line="254"/>
            </w:pPr>
            <w:r>
              <w:rPr>
                <w:rFonts w:ascii="Calibri" w:cs="Calibri" w:eastAsia="Calibri" w:hAnsi="Calibri"/>
                <w:b/>
                <w:bCs/>
                <w:color w:val="12294E"/>
                <w:sz w:val="18"/>
                <w:szCs w:val="18"/>
              </w:rPr>
              <w:t xml:space="preserve">Status</w:t>
            </w:r>
          </w:p>
        </w:tc>
        <w:tc>
          <w:tcPr>
            <w:tcW w:type="dxa" w:w="6960"/>
            <w:tcMar>
              <w:top w:type="dxa" w:w="80"/>
              <w:left w:type="dxa" w:w="110"/>
              <w:bottom w:type="dxa" w:w="80"/>
              <w:right w:type="dxa" w:w="110"/>
            </w:tcMar>
            <w:vAlign w:val="center"/>
          </w:tcPr>
          <w:p>
            <w:pPr>
              <w:spacing w:after="0" w:line="254"/>
            </w:pPr>
            <w:r>
              <w:rPr>
                <w:rFonts w:ascii="Calibri" w:cs="Calibri" w:eastAsia="Calibri" w:hAnsi="Calibri"/>
                <w:b w:val="false"/>
                <w:bCs w:val="false"/>
                <w:color w:val="222222"/>
                <w:sz w:val="18"/>
                <w:szCs w:val="18"/>
              </w:rPr>
              <w:t xml:space="preserve">Draft v1. Every rule in this document is PROPOSED until ratified; on ratification all become CANON unless individually ruled otherwise. Three rulings parked (§9); none block application of §2–§6 to new rules.</w:t>
            </w:r>
          </w:p>
        </w:tc>
      </w:tr>
      <w:tr>
        <w:trPr>
          <w:tblHeader w:val="false"/>
        </w:trPr>
        <w:tc>
          <w:tcPr>
            <w:tcW w:type="dxa" w:w="2400"/>
            <w:tcMar>
              <w:top w:type="dxa" w:w="80"/>
              <w:left w:type="dxa" w:w="110"/>
              <w:bottom w:type="dxa" w:w="80"/>
              <w:right w:type="dxa" w:w="110"/>
            </w:tcMar>
            <w:vAlign w:val="center"/>
          </w:tcPr>
          <w:p>
            <w:pPr>
              <w:spacing w:after="0" w:line="254"/>
            </w:pPr>
            <w:r>
              <w:rPr>
                <w:rFonts w:ascii="Calibri" w:cs="Calibri" w:eastAsia="Calibri" w:hAnsi="Calibri"/>
                <w:b/>
                <w:bCs/>
                <w:color w:val="12294E"/>
                <w:sz w:val="18"/>
                <w:szCs w:val="18"/>
              </w:rPr>
              <w:t xml:space="preserve">Date</w:t>
            </w:r>
          </w:p>
        </w:tc>
        <w:tc>
          <w:tcPr>
            <w:tcW w:type="dxa" w:w="6960"/>
            <w:tcMar>
              <w:top w:type="dxa" w:w="80"/>
              <w:left w:type="dxa" w:w="110"/>
              <w:bottom w:type="dxa" w:w="80"/>
              <w:right w:type="dxa" w:w="110"/>
            </w:tcMar>
            <w:vAlign w:val="center"/>
          </w:tcPr>
          <w:p>
            <w:pPr>
              <w:spacing w:after="0" w:line="254"/>
            </w:pPr>
            <w:r>
              <w:rPr>
                <w:rFonts w:ascii="Calibri" w:cs="Calibri" w:eastAsia="Calibri" w:hAnsi="Calibri"/>
                <w:b w:val="false"/>
                <w:bCs w:val="false"/>
                <w:color w:val="222222"/>
                <w:sz w:val="18"/>
                <w:szCs w:val="18"/>
              </w:rPr>
              <w:t xml:space="preserve">1 September 2026</w:t>
            </w:r>
          </w:p>
        </w:tc>
      </w:tr>
    </w:tbl>
    <w:p>
      <w:pPr>
        <w:pStyle w:val="Heading1"/>
        <w:pBdr>
          <w:bottom w:val="single" w:color="D7DEE8" w:sz="6" w:space="6"/>
        </w:pBdr>
        <w:spacing w:after="150" w:before="340"/>
      </w:pPr>
      <w:r>
        <w:rPr>
          <w:rFonts w:ascii="Cambria" w:cs="Cambria" w:eastAsia="Cambria" w:hAnsi="Cambria"/>
          <w:b/>
          <w:bCs/>
          <w:color w:val="12294E"/>
          <w:sz w:val="26"/>
          <w:szCs w:val="26"/>
        </w:rPr>
        <w:t xml:space="preserve">1   Purpose &amp; Scope</w:t>
      </w:r>
    </w:p>
    <w:p>
      <w:pPr>
        <w:spacing w:after="150" w:line="280"/>
      </w:pPr>
      <w:r>
        <w:rPr>
          <w:rFonts w:ascii="Calibri" w:cs="Calibri" w:eastAsia="Calibri" w:hAnsi="Calibri"/>
          <w:sz w:val="21"/>
          <w:szCs w:val="21"/>
        </w:rPr>
        <w:t xml:space="preserve">This document defines what constitutes a system rule on the Akki platform, how each rule is identified and named, where it originates, how it is classified, and how the complete set is tracked. Its purpose is that the rules governing the platform are consistent in form, unambiguous in identity, and enumerable by lookup.</w:t>
      </w:r>
    </w:p>
    <w:p>
      <w:pPr>
        <w:spacing w:after="150" w:line="280"/>
      </w:pPr>
      <w:r>
        <w:rPr>
          <w:rFonts w:ascii="Calibri" w:cs="Calibri" w:eastAsia="Calibri" w:hAnsi="Calibri"/>
          <w:sz w:val="21"/>
          <w:szCs w:val="21"/>
        </w:rPr>
        <w:t xml:space="preserve">It governs the platform's own rules: those in force prior to and independent of any customer relationship, which a customer's own rule books are constrained by and cannot override. It does not govern customer-authored rule books; §8 states that boundary.</w:t>
      </w:r>
    </w:p>
    <w:p>
      <w:pPr>
        <w:pStyle w:val="Heading1"/>
        <w:pBdr>
          <w:bottom w:val="single" w:color="D7DEE8" w:sz="6" w:space="6"/>
        </w:pBdr>
        <w:spacing w:after="150" w:before="340"/>
      </w:pPr>
      <w:r>
        <w:rPr>
          <w:rFonts w:ascii="Cambria" w:cs="Cambria" w:eastAsia="Cambria" w:hAnsi="Cambria"/>
          <w:b/>
          <w:bCs/>
          <w:color w:val="12294E"/>
          <w:sz w:val="26"/>
          <w:szCs w:val="26"/>
        </w:rPr>
        <w:t xml:space="preserve">2   What Is a Rule</w:t>
      </w:r>
    </w:p>
    <w:p>
      <w:pPr>
        <w:spacing w:after="100" w:line="272"/>
        <w:ind w:left="240"/>
      </w:pPr>
      <w:r>
        <w:rPr>
          <w:rFonts w:ascii="Courier New" w:cs="Courier New" w:eastAsia="Courier New" w:hAnsi="Courier New"/>
          <w:b/>
          <w:bCs/>
          <w:color w:val="1E56A0"/>
          <w:sz w:val="19"/>
          <w:szCs w:val="19"/>
        </w:rPr>
        <w:t xml:space="preserve">ROC-1  </w:t>
      </w:r>
      <w:r>
        <w:rPr>
          <w:rFonts w:ascii="Calibri" w:cs="Calibri" w:eastAsia="Calibri" w:hAnsi="Calibri"/>
          <w:sz w:val="21"/>
          <w:szCs w:val="21"/>
        </w:rPr>
        <w:t xml:space="preserve">A rule is a statement that is (a) individually addressable — it carries a unique ID and can be cited on its own; (b) a requirement, not an explanation — phrased as something a specific implementation does or does not satisfy, independent of which section or document structure it appears in; and (c) falsifiable — a statement that no implementation could fail is a value or a principle, not a rule.</w:t>
      </w:r>
    </w:p>
    <w:p>
      <w:pPr>
        <w:spacing w:after="100" w:line="272"/>
        <w:ind w:left="240"/>
      </w:pPr>
      <w:r>
        <w:rPr>
          <w:rFonts w:ascii="Courier New" w:cs="Courier New" w:eastAsia="Courier New" w:hAnsi="Courier New"/>
          <w:b/>
          <w:bCs/>
          <w:color w:val="1E56A0"/>
          <w:sz w:val="19"/>
          <w:szCs w:val="19"/>
        </w:rPr>
        <w:t xml:space="preserve">ROC-2  </w:t>
      </w:r>
      <w:r>
        <w:rPr>
          <w:rFonts w:ascii="Calibri" w:cs="Calibri" w:eastAsia="Calibri" w:hAnsi="Calibri"/>
          <w:sz w:val="21"/>
          <w:szCs w:val="21"/>
        </w:rPr>
        <w:t xml:space="preserve">A statement that restates the substance of an already-ratified rule under a new ID, without citing the original, is rule proliferation and MUST be rejected at authoring. An extending document MAY cite an existing rule by ID; it MUST NOT reissue it under a new one.</w:t>
      </w:r>
    </w:p>
    <w:p>
      <w:pPr>
        <w:spacing w:after="130" w:line="260"/>
        <w:ind w:left="240"/>
      </w:pPr>
      <w:r>
        <w:rPr>
          <w:rFonts w:ascii="Calibri" w:cs="Calibri" w:eastAsia="Calibri" w:hAnsi="Calibri"/>
          <w:i/>
          <w:iCs/>
          <w:color w:val="55606E"/>
          <w:sz w:val="18"/>
          <w:szCs w:val="18"/>
        </w:rPr>
        <w:t xml:space="preserve">Source: Document 17 §17.2 — “anything that reads as a parallel to an existing service is rule proliferation and must be collapsed into the existing service” — generalized from services to rules.</w:t>
      </w:r>
    </w:p>
    <w:p>
      <w:pPr>
        <w:pBdr>
          <w:left w:val="single" w:color="1E56A0" w:sz="12" w:space="7"/>
        </w:pBdr>
        <w:shd w:fill="F5F7FA" w:val="clear"/>
        <w:spacing w:after="150" w:before="60" w:line="272"/>
        <w:ind w:left="110" w:right="110"/>
      </w:pPr>
      <w:r>
        <w:rPr>
          <w:rFonts w:ascii="Calibri" w:cs="Calibri" w:eastAsia="Calibri" w:hAnsi="Calibri"/>
          <w:color w:val="2A3B52"/>
          <w:sz w:val="20"/>
          <w:szCs w:val="20"/>
        </w:rPr>
        <w:t xml:space="preserve">Document convention. Canon documents present each promise in six parts: promise · service · definition · delivery experience · technical and behavioural requirements · what must be true. Individually identified rules appear in the fifth part. A document that does not follow this structure identifies its rules by ROC-1 alone; the structure is a convention, not the test.</w:t>
      </w:r>
    </w:p>
    <w:p>
      <w:pPr>
        <w:pBdr>
          <w:left w:val="single" w:color="1E56A0" w:sz="12" w:space="7"/>
        </w:pBdr>
        <w:shd w:fill="F5F7FA" w:val="clear"/>
        <w:spacing w:after="150" w:before="60" w:line="272"/>
        <w:ind w:left="110" w:right="110"/>
      </w:pPr>
      <w:r>
        <w:rPr>
          <w:rFonts w:ascii="Calibri" w:cs="Calibri" w:eastAsia="Calibri" w:hAnsi="Calibri"/>
          <w:color w:val="2A3B52"/>
          <w:sz w:val="20"/>
          <w:szCs w:val="20"/>
        </w:rPr>
        <w:t xml:space="preserve">Example. A promise's definition section states what the promise means (“identifiers are removed before crossing”). Its requirements section states what is built to make that true (A5.1: exactly one function invokes the external model client, enforced by a negative-scan build test). The first explains; the second is a rule.</w:t>
      </w:r>
    </w:p>
    <w:p>
      <w:pPr>
        <w:pStyle w:val="Heading1"/>
        <w:pBdr>
          <w:bottom w:val="single" w:color="D7DEE8" w:sz="6" w:space="6"/>
        </w:pBdr>
        <w:spacing w:after="150" w:before="340"/>
      </w:pPr>
      <w:r>
        <w:rPr>
          <w:rFonts w:ascii="Cambria" w:cs="Cambria" w:eastAsia="Cambria" w:hAnsi="Cambria"/>
          <w:b/>
          <w:bCs/>
          <w:color w:val="12294E"/>
          <w:sz w:val="26"/>
          <w:szCs w:val="26"/>
        </w:rPr>
        <w:t xml:space="preserve">3   Rule Origination</w:t>
      </w:r>
    </w:p>
    <w:p>
      <w:pPr>
        <w:spacing w:after="150" w:line="280"/>
      </w:pPr>
      <w:r>
        <w:rPr>
          <w:rFonts w:ascii="Calibri" w:cs="Calibri" w:eastAsia="Calibri" w:hAnsi="Calibri"/>
          <w:sz w:val="21"/>
          <w:szCs w:val="21"/>
        </w:rPr>
        <w:t xml:space="preserve">Every rule carries a provenance citation as part of its registry entry (§6). A rule without a stated origin cannot be distinguished from an unsupported assertion. Five origination classes; every rule is exactly one.</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2400"/>
        <w:gridCol w:w="3600"/>
        <w:gridCol w:w="3360"/>
      </w:tblGrid>
      <w:tr>
        <w:trPr>
          <w:tblHeader/>
        </w:trPr>
        <w:tc>
          <w:tcPr>
            <w:tcW w:type="dxa" w:w="2400"/>
            <w:shd w:fill="12294E" w:val="clear"/>
            <w:tcMar>
              <w:top w:type="dxa" w:w="80"/>
              <w:left w:type="dxa" w:w="110"/>
              <w:bottom w:type="dxa" w:w="80"/>
              <w:right w:type="dxa" w:w="110"/>
            </w:tcMar>
            <w:vAlign w:val="center"/>
          </w:tcPr>
          <w:p>
            <w:pPr>
              <w:spacing w:after="0" w:line="254"/>
            </w:pPr>
            <w:r>
              <w:rPr>
                <w:rFonts w:ascii="Calibri" w:cs="Calibri" w:eastAsia="Calibri" w:hAnsi="Calibri"/>
                <w:b/>
                <w:bCs/>
                <w:color w:val="FFFFFF"/>
                <w:sz w:val="18"/>
                <w:szCs w:val="18"/>
              </w:rPr>
              <w:t xml:space="preserve">Class</w:t>
            </w:r>
          </w:p>
        </w:tc>
        <w:tc>
          <w:tcPr>
            <w:tcW w:type="dxa" w:w="3600"/>
            <w:shd w:fill="12294E" w:val="clear"/>
            <w:tcMar>
              <w:top w:type="dxa" w:w="80"/>
              <w:left w:type="dxa" w:w="110"/>
              <w:bottom w:type="dxa" w:w="80"/>
              <w:right w:type="dxa" w:w="110"/>
            </w:tcMar>
            <w:vAlign w:val="center"/>
          </w:tcPr>
          <w:p>
            <w:pPr>
              <w:spacing w:after="0" w:line="254"/>
            </w:pPr>
            <w:r>
              <w:rPr>
                <w:rFonts w:ascii="Calibri" w:cs="Calibri" w:eastAsia="Calibri" w:hAnsi="Calibri"/>
                <w:b/>
                <w:bCs/>
                <w:color w:val="FFFFFF"/>
                <w:sz w:val="18"/>
                <w:szCs w:val="18"/>
              </w:rPr>
              <w:t xml:space="preserve">Meaning</w:t>
            </w:r>
          </w:p>
        </w:tc>
        <w:tc>
          <w:tcPr>
            <w:tcW w:type="dxa" w:w="3360"/>
            <w:shd w:fill="12294E" w:val="clear"/>
            <w:tcMar>
              <w:top w:type="dxa" w:w="80"/>
              <w:left w:type="dxa" w:w="110"/>
              <w:bottom w:type="dxa" w:w="80"/>
              <w:right w:type="dxa" w:w="110"/>
            </w:tcMar>
            <w:vAlign w:val="center"/>
          </w:tcPr>
          <w:p>
            <w:pPr>
              <w:spacing w:after="0" w:line="254"/>
            </w:pPr>
            <w:r>
              <w:rPr>
                <w:rFonts w:ascii="Calibri" w:cs="Calibri" w:eastAsia="Calibri" w:hAnsi="Calibri"/>
                <w:b/>
                <w:bCs/>
                <w:color w:val="FFFFFF"/>
                <w:sz w:val="18"/>
                <w:szCs w:val="18"/>
              </w:rPr>
              <w:t xml:space="preserve">Citation states</w:t>
            </w:r>
          </w:p>
        </w:tc>
      </w:tr>
      <w:tr>
        <w:trPr>
          <w:tblHeader w:val="false"/>
        </w:trPr>
        <w:tc>
          <w:tcPr>
            <w:tcW w:type="dxa" w:w="2400"/>
            <w:tcMar>
              <w:top w:type="dxa" w:w="80"/>
              <w:left w:type="dxa" w:w="110"/>
              <w:bottom w:type="dxa" w:w="80"/>
              <w:right w:type="dxa" w:w="110"/>
            </w:tcMar>
            <w:vAlign w:val="center"/>
          </w:tcPr>
          <w:p>
            <w:pPr>
              <w:spacing w:after="0" w:line="254"/>
            </w:pPr>
            <w:r>
              <w:rPr>
                <w:rFonts w:ascii="Calibri" w:cs="Calibri" w:eastAsia="Calibri" w:hAnsi="Calibri"/>
                <w:b/>
                <w:bCs/>
                <w:color w:val="12294E"/>
                <w:sz w:val="18"/>
                <w:szCs w:val="18"/>
              </w:rPr>
              <w:t xml:space="preserve">RATIFIED-EXTERNAL</w:t>
            </w:r>
          </w:p>
        </w:tc>
        <w:tc>
          <w:tcPr>
            <w:tcW w:type="dxa" w:w="3600"/>
            <w:tcMar>
              <w:top w:type="dxa" w:w="80"/>
              <w:left w:type="dxa" w:w="110"/>
              <w:bottom w:type="dxa" w:w="80"/>
              <w:right w:type="dxa" w:w="110"/>
            </w:tcMar>
            <w:vAlign w:val="center"/>
          </w:tcPr>
          <w:p>
            <w:pPr>
              <w:spacing w:after="0" w:line="254"/>
            </w:pPr>
            <w:r>
              <w:rPr>
                <w:rFonts w:ascii="Calibri" w:cs="Calibri" w:eastAsia="Calibri" w:hAnsi="Calibri"/>
                <w:b w:val="false"/>
                <w:bCs w:val="false"/>
                <w:color w:val="222222"/>
                <w:sz w:val="18"/>
                <w:szCs w:val="18"/>
              </w:rPr>
              <w:t xml:space="preserve">Decomposed from a pre-existing, separately ratified specification.</w:t>
            </w:r>
          </w:p>
        </w:tc>
        <w:tc>
          <w:tcPr>
            <w:tcW w:type="dxa" w:w="3360"/>
            <w:tcMar>
              <w:top w:type="dxa" w:w="80"/>
              <w:left w:type="dxa" w:w="110"/>
              <w:bottom w:type="dxa" w:w="80"/>
              <w:right w:type="dxa" w:w="110"/>
            </w:tcMar>
            <w:vAlign w:val="center"/>
          </w:tcPr>
          <w:p>
            <w:pPr>
              <w:spacing w:after="0" w:line="254"/>
            </w:pPr>
            <w:r>
              <w:rPr>
                <w:rFonts w:ascii="Calibri" w:cs="Calibri" w:eastAsia="Calibri" w:hAnsi="Calibri"/>
                <w:b w:val="false"/>
                <w:bCs w:val="false"/>
                <w:color w:val="222222"/>
                <w:sz w:val="18"/>
                <w:szCs w:val="18"/>
              </w:rPr>
              <w:t xml:space="preserve">Source document and section.</w:t>
            </w:r>
          </w:p>
        </w:tc>
      </w:tr>
      <w:tr>
        <w:trPr>
          <w:tblHeader w:val="false"/>
        </w:trPr>
        <w:tc>
          <w:tcPr>
            <w:tcW w:type="dxa" w:w="2400"/>
            <w:shd w:fill="F5F7FA" w:val="clear"/>
            <w:tcMar>
              <w:top w:type="dxa" w:w="80"/>
              <w:left w:type="dxa" w:w="110"/>
              <w:bottom w:type="dxa" w:w="80"/>
              <w:right w:type="dxa" w:w="110"/>
            </w:tcMar>
            <w:vAlign w:val="center"/>
          </w:tcPr>
          <w:p>
            <w:pPr>
              <w:spacing w:after="0" w:line="254"/>
            </w:pPr>
            <w:r>
              <w:rPr>
                <w:rFonts w:ascii="Calibri" w:cs="Calibri" w:eastAsia="Calibri" w:hAnsi="Calibri"/>
                <w:b/>
                <w:bCs/>
                <w:color w:val="12294E"/>
                <w:sz w:val="18"/>
                <w:szCs w:val="18"/>
              </w:rPr>
              <w:t xml:space="preserve">PROMISE-DECOMPOSED</w:t>
            </w:r>
          </w:p>
        </w:tc>
        <w:tc>
          <w:tcPr>
            <w:tcW w:type="dxa" w:w="3600"/>
            <w:shd w:fill="F5F7FA" w:val="clear"/>
            <w:tcMar>
              <w:top w:type="dxa" w:w="80"/>
              <w:left w:type="dxa" w:w="110"/>
              <w:bottom w:type="dxa" w:w="80"/>
              <w:right w:type="dxa" w:w="110"/>
            </w:tcMar>
            <w:vAlign w:val="center"/>
          </w:tcPr>
          <w:p>
            <w:pPr>
              <w:spacing w:after="0" w:line="254"/>
            </w:pPr>
            <w:r>
              <w:rPr>
                <w:rFonts w:ascii="Calibri" w:cs="Calibri" w:eastAsia="Calibri" w:hAnsi="Calibri"/>
                <w:b w:val="false"/>
                <w:bCs w:val="false"/>
                <w:color w:val="222222"/>
                <w:sz w:val="18"/>
                <w:szCs w:val="18"/>
              </w:rPr>
              <w:t xml:space="preserve">Derived from a promise's own definition within the same document.</w:t>
            </w:r>
          </w:p>
        </w:tc>
        <w:tc>
          <w:tcPr>
            <w:tcW w:type="dxa" w:w="3360"/>
            <w:shd w:fill="F5F7FA" w:val="clear"/>
            <w:tcMar>
              <w:top w:type="dxa" w:w="80"/>
              <w:left w:type="dxa" w:w="110"/>
              <w:bottom w:type="dxa" w:w="80"/>
              <w:right w:type="dxa" w:w="110"/>
            </w:tcMar>
            <w:vAlign w:val="center"/>
          </w:tcPr>
          <w:p>
            <w:pPr>
              <w:spacing w:after="0" w:line="254"/>
            </w:pPr>
            <w:r>
              <w:rPr>
                <w:rFonts w:ascii="Calibri" w:cs="Calibri" w:eastAsia="Calibri" w:hAnsi="Calibri"/>
                <w:b w:val="false"/>
                <w:bCs w:val="false"/>
                <w:color w:val="222222"/>
                <w:sz w:val="18"/>
                <w:szCs w:val="18"/>
              </w:rPr>
              <w:t xml:space="preserve">Promise number and document.</w:t>
            </w:r>
          </w:p>
        </w:tc>
      </w:tr>
      <w:tr>
        <w:trPr>
          <w:tblHeader w:val="false"/>
        </w:trPr>
        <w:tc>
          <w:tcPr>
            <w:tcW w:type="dxa" w:w="2400"/>
            <w:tcMar>
              <w:top w:type="dxa" w:w="80"/>
              <w:left w:type="dxa" w:w="110"/>
              <w:bottom w:type="dxa" w:w="80"/>
              <w:right w:type="dxa" w:w="110"/>
            </w:tcMar>
            <w:vAlign w:val="center"/>
          </w:tcPr>
          <w:p>
            <w:pPr>
              <w:spacing w:after="0" w:line="254"/>
            </w:pPr>
            <w:r>
              <w:rPr>
                <w:rFonts w:ascii="Calibri" w:cs="Calibri" w:eastAsia="Calibri" w:hAnsi="Calibri"/>
                <w:b/>
                <w:bCs/>
                <w:color w:val="12294E"/>
                <w:sz w:val="18"/>
                <w:szCs w:val="18"/>
              </w:rPr>
              <w:t xml:space="preserve">OWNER-DIRECTED</w:t>
            </w:r>
          </w:p>
        </w:tc>
        <w:tc>
          <w:tcPr>
            <w:tcW w:type="dxa" w:w="3600"/>
            <w:tcMar>
              <w:top w:type="dxa" w:w="80"/>
              <w:left w:type="dxa" w:w="110"/>
              <w:bottom w:type="dxa" w:w="80"/>
              <w:right w:type="dxa" w:w="110"/>
            </w:tcMar>
            <w:vAlign w:val="center"/>
          </w:tcPr>
          <w:p>
            <w:pPr>
              <w:spacing w:after="0" w:line="254"/>
            </w:pPr>
            <w:r>
              <w:rPr>
                <w:rFonts w:ascii="Calibri" w:cs="Calibri" w:eastAsia="Calibri" w:hAnsi="Calibri"/>
                <w:b w:val="false"/>
                <w:bCs w:val="false"/>
                <w:color w:val="222222"/>
                <w:sz w:val="18"/>
                <w:szCs w:val="18"/>
              </w:rPr>
              <w:t xml:space="preserve">Instructed directly by the Owner; drafted to specification.</w:t>
            </w:r>
          </w:p>
        </w:tc>
        <w:tc>
          <w:tcPr>
            <w:tcW w:type="dxa" w:w="3360"/>
            <w:tcMar>
              <w:top w:type="dxa" w:w="80"/>
              <w:left w:type="dxa" w:w="110"/>
              <w:bottom w:type="dxa" w:w="80"/>
              <w:right w:type="dxa" w:w="110"/>
            </w:tcMar>
            <w:vAlign w:val="center"/>
          </w:tcPr>
          <w:p>
            <w:pPr>
              <w:spacing w:after="0" w:line="254"/>
            </w:pPr>
            <w:r>
              <w:rPr>
                <w:rFonts w:ascii="Calibri" w:cs="Calibri" w:eastAsia="Calibri" w:hAnsi="Calibri"/>
                <w:b w:val="false"/>
                <w:bCs w:val="false"/>
                <w:color w:val="222222"/>
                <w:sz w:val="18"/>
                <w:szCs w:val="18"/>
              </w:rPr>
              <w:t xml:space="preserve">The instruction, ceremony, or ratification date.</w:t>
            </w:r>
          </w:p>
        </w:tc>
      </w:tr>
      <w:tr>
        <w:trPr>
          <w:tblHeader w:val="false"/>
        </w:trPr>
        <w:tc>
          <w:tcPr>
            <w:tcW w:type="dxa" w:w="2400"/>
            <w:shd w:fill="F5F7FA" w:val="clear"/>
            <w:tcMar>
              <w:top w:type="dxa" w:w="80"/>
              <w:left w:type="dxa" w:w="110"/>
              <w:bottom w:type="dxa" w:w="80"/>
              <w:right w:type="dxa" w:w="110"/>
            </w:tcMar>
            <w:vAlign w:val="center"/>
          </w:tcPr>
          <w:p>
            <w:pPr>
              <w:spacing w:after="0" w:line="254"/>
            </w:pPr>
            <w:r>
              <w:rPr>
                <w:rFonts w:ascii="Calibri" w:cs="Calibri" w:eastAsia="Calibri" w:hAnsi="Calibri"/>
                <w:b/>
                <w:bCs/>
                <w:color w:val="12294E"/>
                <w:sz w:val="18"/>
                <w:szCs w:val="18"/>
              </w:rPr>
              <w:t xml:space="preserve">ASSISTANT-PROPOSED</w:t>
            </w:r>
          </w:p>
        </w:tc>
        <w:tc>
          <w:tcPr>
            <w:tcW w:type="dxa" w:w="3600"/>
            <w:shd w:fill="F5F7FA" w:val="clear"/>
            <w:tcMar>
              <w:top w:type="dxa" w:w="80"/>
              <w:left w:type="dxa" w:w="110"/>
              <w:bottom w:type="dxa" w:w="80"/>
              <w:right w:type="dxa" w:w="110"/>
            </w:tcMar>
            <w:vAlign w:val="center"/>
          </w:tcPr>
          <w:p>
            <w:pPr>
              <w:spacing w:after="0" w:line="254"/>
            </w:pPr>
            <w:r>
              <w:rPr>
                <w:rFonts w:ascii="Calibri" w:cs="Calibri" w:eastAsia="Calibri" w:hAnsi="Calibri"/>
                <w:b w:val="false"/>
                <w:bCs w:val="false"/>
                <w:color w:val="222222"/>
                <w:sz w:val="18"/>
                <w:szCs w:val="18"/>
              </w:rPr>
              <w:t xml:space="preserve">Synthesized to close a gap; offered for ratification; not yet adopted.</w:t>
            </w:r>
          </w:p>
        </w:tc>
        <w:tc>
          <w:tcPr>
            <w:tcW w:type="dxa" w:w="3360"/>
            <w:shd w:fill="F5F7FA" w:val="clear"/>
            <w:tcMar>
              <w:top w:type="dxa" w:w="80"/>
              <w:left w:type="dxa" w:w="110"/>
              <w:bottom w:type="dxa" w:w="80"/>
              <w:right w:type="dxa" w:w="110"/>
            </w:tcMar>
            <w:vAlign w:val="center"/>
          </w:tcPr>
          <w:p>
            <w:pPr>
              <w:spacing w:after="0" w:line="254"/>
            </w:pPr>
            <w:r>
              <w:rPr>
                <w:rFonts w:ascii="Calibri" w:cs="Calibri" w:eastAsia="Calibri" w:hAnsi="Calibri"/>
                <w:b w:val="false"/>
                <w:bCs w:val="false"/>
                <w:color w:val="222222"/>
                <w:sz w:val="18"/>
                <w:szCs w:val="18"/>
              </w:rPr>
              <w:t xml:space="preserve">The proposing session or date. Carries PROPOSED or OPEN status until ratified — never CANON without a ratification event.</w:t>
            </w:r>
          </w:p>
        </w:tc>
      </w:tr>
      <w:tr>
        <w:trPr>
          <w:tblHeader w:val="false"/>
        </w:trPr>
        <w:tc>
          <w:tcPr>
            <w:tcW w:type="dxa" w:w="2400"/>
            <w:tcMar>
              <w:top w:type="dxa" w:w="80"/>
              <w:left w:type="dxa" w:w="110"/>
              <w:bottom w:type="dxa" w:w="80"/>
              <w:right w:type="dxa" w:w="110"/>
            </w:tcMar>
            <w:vAlign w:val="center"/>
          </w:tcPr>
          <w:p>
            <w:pPr>
              <w:spacing w:after="0" w:line="254"/>
            </w:pPr>
            <w:r>
              <w:rPr>
                <w:rFonts w:ascii="Calibri" w:cs="Calibri" w:eastAsia="Calibri" w:hAnsi="Calibri"/>
                <w:b/>
                <w:bCs/>
                <w:color w:val="12294E"/>
                <w:sz w:val="18"/>
                <w:szCs w:val="18"/>
              </w:rPr>
              <w:t xml:space="preserve">EXTENSION</w:t>
            </w:r>
          </w:p>
        </w:tc>
        <w:tc>
          <w:tcPr>
            <w:tcW w:type="dxa" w:w="3600"/>
            <w:tcMar>
              <w:top w:type="dxa" w:w="80"/>
              <w:left w:type="dxa" w:w="110"/>
              <w:bottom w:type="dxa" w:w="80"/>
              <w:right w:type="dxa" w:w="110"/>
            </w:tcMar>
            <w:vAlign w:val="center"/>
          </w:tcPr>
          <w:p>
            <w:pPr>
              <w:spacing w:after="0" w:line="254"/>
            </w:pPr>
            <w:r>
              <w:rPr>
                <w:rFonts w:ascii="Calibri" w:cs="Calibri" w:eastAsia="Calibri" w:hAnsi="Calibri"/>
                <w:b w:val="false"/>
                <w:bCs w:val="false"/>
                <w:color w:val="222222"/>
                <w:sz w:val="18"/>
                <w:szCs w:val="18"/>
              </w:rPr>
              <w:t xml:space="preserve">Amends or extends the scope of an existing rule.</w:t>
            </w:r>
          </w:p>
        </w:tc>
        <w:tc>
          <w:tcPr>
            <w:tcW w:type="dxa" w:w="3360"/>
            <w:tcMar>
              <w:top w:type="dxa" w:w="80"/>
              <w:left w:type="dxa" w:w="110"/>
              <w:bottom w:type="dxa" w:w="80"/>
              <w:right w:type="dxa" w:w="110"/>
            </w:tcMar>
            <w:vAlign w:val="center"/>
          </w:tcPr>
          <w:p>
            <w:pPr>
              <w:spacing w:after="0" w:line="254"/>
            </w:pPr>
            <w:r>
              <w:rPr>
                <w:rFonts w:ascii="Calibri" w:cs="Calibri" w:eastAsia="Calibri" w:hAnsi="Calibri"/>
                <w:b w:val="false"/>
                <w:bCs w:val="false"/>
                <w:color w:val="222222"/>
                <w:sz w:val="18"/>
                <w:szCs w:val="18"/>
              </w:rPr>
              <w:t xml:space="preserve">The rule(s) extended, and what changes against what does not.</w:t>
            </w:r>
          </w:p>
        </w:tc>
      </w:tr>
    </w:tbl>
    <w:p>
      <w:pPr>
        <w:pStyle w:val="Heading1"/>
        <w:pBdr>
          <w:bottom w:val="single" w:color="D7DEE8" w:sz="6" w:space="6"/>
        </w:pBdr>
        <w:spacing w:after="150" w:before="340"/>
      </w:pPr>
      <w:r>
        <w:rPr>
          <w:rFonts w:ascii="Cambria" w:cs="Cambria" w:eastAsia="Cambria" w:hAnsi="Cambria"/>
          <w:b/>
          <w:bCs/>
          <w:color w:val="12294E"/>
          <w:sz w:val="26"/>
          <w:szCs w:val="26"/>
        </w:rPr>
        <w:t xml:space="preserve">4   Rule ID &amp; Naming Convention</w:t>
      </w:r>
    </w:p>
    <w:p>
      <w:pPr>
        <w:spacing w:after="90" w:before="220"/>
      </w:pPr>
      <w:r>
        <w:rPr>
          <w:rFonts w:ascii="Calibri" w:cs="Calibri" w:eastAsia="Calibri" w:hAnsi="Calibri"/>
          <w:b/>
          <w:bCs/>
          <w:color w:val="1E56A0"/>
          <w:sz w:val="22"/>
          <w:szCs w:val="22"/>
        </w:rPr>
        <w:t xml:space="preserve">Two schemes</w:t>
      </w:r>
    </w:p>
    <w:p>
      <w:pPr>
        <w:spacing w:after="100" w:line="272"/>
        <w:ind w:left="240"/>
      </w:pPr>
      <w:r>
        <w:rPr>
          <w:rFonts w:ascii="Courier New" w:cs="Courier New" w:eastAsia="Courier New" w:hAnsi="Courier New"/>
          <w:b/>
          <w:bCs/>
          <w:color w:val="1E56A0"/>
          <w:sz w:val="19"/>
          <w:szCs w:val="19"/>
        </w:rPr>
        <w:t xml:space="preserve">ROC-3  </w:t>
      </w:r>
      <w:r>
        <w:rPr>
          <w:rFonts w:ascii="Calibri" w:cs="Calibri" w:eastAsia="Calibri" w:hAnsi="Calibri"/>
          <w:sz w:val="21"/>
          <w:szCs w:val="21"/>
        </w:rPr>
        <w:t xml:space="preserve">POSITIONAL: [Part][Section].[Sequence] — e.g. A5.3, B5.2. The default. Used when a rule is intrinsic to one promise or document and is not referenced elsewhere as a named mechanism.</w:t>
      </w:r>
    </w:p>
    <w:p>
      <w:pPr>
        <w:spacing w:after="100" w:line="272"/>
        <w:ind w:left="240"/>
      </w:pPr>
      <w:r>
        <w:rPr>
          <w:rFonts w:ascii="Courier New" w:cs="Courier New" w:eastAsia="Courier New" w:hAnsi="Courier New"/>
          <w:b/>
          <w:bCs/>
          <w:color w:val="1E56A0"/>
          <w:sz w:val="19"/>
          <w:szCs w:val="19"/>
        </w:rPr>
        <w:t xml:space="preserve">ROC-4  </w:t>
      </w:r>
      <w:r>
        <w:rPr>
          <w:rFonts w:ascii="Calibri" w:cs="Calibri" w:eastAsia="Calibri" w:hAnsi="Calibri"/>
          <w:sz w:val="21"/>
          <w:szCs w:val="21"/>
        </w:rPr>
        <w:t xml:space="preserve">MNEMONIC: [2–4-letter abbreviation]-[Sequence] — e.g. QA-4, DR-R7, WPW-11. Used only when a rule belongs to a named, addressable sub-mechanism with its own identity: referenced from multiple places, or constituting a distinct capability layer — a critic pass, an evidence protocol, a rendering engine, a wizard.</w:t>
      </w:r>
    </w:p>
    <w:p>
      <w:pPr>
        <w:spacing w:after="90" w:before="220"/>
      </w:pPr>
      <w:r>
        <w:rPr>
          <w:rFonts w:ascii="Calibri" w:cs="Calibri" w:eastAsia="Calibri" w:hAnsi="Calibri"/>
          <w:b/>
          <w:bCs/>
          <w:color w:val="1E56A0"/>
          <w:sz w:val="22"/>
          <w:szCs w:val="22"/>
        </w:rPr>
        <w:t xml:space="preserve">Scheme exclusivity</w:t>
      </w:r>
    </w:p>
    <w:p>
      <w:pPr>
        <w:spacing w:after="100" w:line="272"/>
        <w:ind w:left="240"/>
      </w:pPr>
      <w:r>
        <w:rPr>
          <w:rFonts w:ascii="Courier New" w:cs="Courier New" w:eastAsia="Courier New" w:hAnsi="Courier New"/>
          <w:b/>
          <w:bCs/>
          <w:color w:val="1E56A0"/>
          <w:sz w:val="19"/>
          <w:szCs w:val="19"/>
        </w:rPr>
        <w:t xml:space="preserve">ROC-5  </w:t>
      </w:r>
      <w:r>
        <w:rPr>
          <w:rFonts w:ascii="Calibri" w:cs="Calibri" w:eastAsia="Calibri" w:hAnsi="Calibri"/>
          <w:sz w:val="21"/>
          <w:szCs w:val="21"/>
        </w:rPr>
        <w:t xml:space="preserve">A rule population uses exactly one scheme. A document or section MUST NOT carry both a positional sequence and a mnemonic sequence over the same items. Two concurrent schemes over one population make both the identity and the count of its rules ambiguous.</w:t>
      </w:r>
    </w:p>
    <w:p>
      <w:pPr>
        <w:spacing w:after="100" w:line="272"/>
        <w:ind w:left="240"/>
      </w:pPr>
      <w:r>
        <w:rPr>
          <w:rFonts w:ascii="Courier New" w:cs="Courier New" w:eastAsia="Courier New" w:hAnsi="Courier New"/>
          <w:b/>
          <w:bCs/>
          <w:color w:val="1E56A0"/>
          <w:sz w:val="19"/>
          <w:szCs w:val="19"/>
        </w:rPr>
        <w:t xml:space="preserve">ROC-6  </w:t>
      </w:r>
      <w:r>
        <w:rPr>
          <w:rFonts w:ascii="Calibri" w:cs="Calibri" w:eastAsia="Calibri" w:hAnsi="Calibri"/>
          <w:sz w:val="21"/>
          <w:szCs w:val="21"/>
        </w:rPr>
        <w:t xml:space="preserve">Every mnemonic prefix MUST be reserved in the Rule Registry (§6) before first use. A prefix collision is caught at reservation, not inside a document.</w:t>
      </w:r>
    </w:p>
    <w:p>
      <w:pPr>
        <w:pStyle w:val="Heading1"/>
        <w:pBdr>
          <w:bottom w:val="single" w:color="D7DEE8" w:sz="6" w:space="6"/>
        </w:pBdr>
        <w:spacing w:after="150" w:before="340"/>
      </w:pPr>
      <w:r>
        <w:rPr>
          <w:rFonts w:ascii="Cambria" w:cs="Cambria" w:eastAsia="Cambria" w:hAnsi="Cambria"/>
          <w:b/>
          <w:bCs/>
          <w:color w:val="12294E"/>
          <w:sz w:val="26"/>
          <w:szCs w:val="26"/>
        </w:rPr>
        <w:t xml:space="preserve">5   Rule Classification — Three Axes</w:t>
      </w:r>
    </w:p>
    <w:p>
      <w:pPr>
        <w:spacing w:after="150" w:line="280"/>
      </w:pPr>
      <w:r>
        <w:rPr>
          <w:rFonts w:ascii="Calibri" w:cs="Calibri" w:eastAsia="Calibri" w:hAnsi="Calibri"/>
          <w:sz w:val="21"/>
          <w:szCs w:val="21"/>
        </w:rPr>
        <w:t xml:space="preserve">Every rule carries a value on all three axes. None is optional, and they are independent: a rule's enforcement class does not imply its status, and neither implies its domain.</w:t>
      </w:r>
    </w:p>
    <w:p>
      <w:pPr>
        <w:spacing w:after="90" w:before="220"/>
      </w:pPr>
      <w:r>
        <w:rPr>
          <w:rFonts w:ascii="Calibri" w:cs="Calibri" w:eastAsia="Calibri" w:hAnsi="Calibri"/>
          <w:b/>
          <w:bCs/>
          <w:color w:val="1E56A0"/>
          <w:sz w:val="22"/>
          <w:szCs w:val="22"/>
        </w:rPr>
        <w:t xml:space="preserve">Axis 1 — Status: how settled</w:t>
      </w:r>
    </w:p>
    <w:p>
      <w:pPr>
        <w:spacing w:after="100" w:line="272"/>
        <w:ind w:left="240"/>
      </w:pPr>
      <w:r>
        <w:rPr>
          <w:rFonts w:ascii="Courier New" w:cs="Courier New" w:eastAsia="Courier New" w:hAnsi="Courier New"/>
          <w:b/>
          <w:bCs/>
          <w:color w:val="1E56A0"/>
          <w:sz w:val="19"/>
          <w:szCs w:val="19"/>
        </w:rPr>
        <w:t xml:space="preserve">ROC-7  </w:t>
      </w:r>
      <w:r>
        <w:rPr>
          <w:rFonts w:ascii="Calibri" w:cs="Calibri" w:eastAsia="Calibri" w:hAnsi="Calibri"/>
          <w:sz w:val="21"/>
          <w:szCs w:val="21"/>
        </w:rPr>
        <w:t xml:space="preserve">CANON (ratified, in force) · RULED (an Owner decision on record, not yet executed) · DEFAULT (a working value, revisable on evidence, not yet formally ratified) · PROPOSED (synthesized, offered for ratification, not adopted) · OPEN (undecided; no default stands). Exactly five values. Any other status vocabulary MUST be mapped onto these five; no document introduces a sixth.</w:t>
      </w:r>
    </w:p>
    <w:p>
      <w:pPr>
        <w:spacing w:after="90" w:before="220"/>
      </w:pPr>
      <w:r>
        <w:rPr>
          <w:rFonts w:ascii="Calibri" w:cs="Calibri" w:eastAsia="Calibri" w:hAnsi="Calibri"/>
          <w:b/>
          <w:bCs/>
          <w:color w:val="1E56A0"/>
          <w:sz w:val="22"/>
          <w:szCs w:val="22"/>
        </w:rPr>
        <w:t xml:space="preserve">Axis 2 — Enforcement class: how it is held to</w:t>
      </w:r>
    </w:p>
    <w:p>
      <w:pPr>
        <w:spacing w:after="100" w:line="272"/>
        <w:ind w:left="240"/>
      </w:pPr>
      <w:r>
        <w:rPr>
          <w:rFonts w:ascii="Courier New" w:cs="Courier New" w:eastAsia="Courier New" w:hAnsi="Courier New"/>
          <w:b/>
          <w:bCs/>
          <w:color w:val="1E56A0"/>
          <w:sz w:val="19"/>
          <w:szCs w:val="19"/>
        </w:rPr>
        <w:t xml:space="preserve">ROC-8  </w:t>
      </w:r>
      <w:r>
        <w:rPr>
          <w:rFonts w:ascii="Calibri" w:cs="Calibri" w:eastAsia="Calibri" w:hAnsi="Calibri"/>
          <w:sz w:val="21"/>
          <w:szCs w:val="21"/>
        </w:rPr>
        <w:t xml:space="preserve">STRUCTURAL (the violating state is unrepresentable — cannot be expressed, compiled, or executed) · MECHANICAL (an automated check — build gate, schema validator, negative-scan test — catches violations at a defined point) · MEASURED (held to a standing metric with a stated kill or revision condition) · CEREMONIAL (enforced by a defined human process — counter-signature, cancellable countdown, ratification) · ADVISORY (surfaced and recorded; never blocking).</w:t>
      </w:r>
    </w:p>
    <w:p>
      <w:pPr>
        <w:spacing w:after="90" w:before="220"/>
      </w:pPr>
      <w:r>
        <w:rPr>
          <w:rFonts w:ascii="Calibri" w:cs="Calibri" w:eastAsia="Calibri" w:hAnsi="Calibri"/>
          <w:b/>
          <w:bCs/>
          <w:color w:val="1E56A0"/>
          <w:sz w:val="22"/>
          <w:szCs w:val="22"/>
        </w:rPr>
        <w:t xml:space="preserve">Axis 3 — Domain: what it governs</w:t>
      </w:r>
    </w:p>
    <w:p>
      <w:pPr>
        <w:spacing w:after="100" w:line="272"/>
        <w:ind w:left="240"/>
      </w:pPr>
      <w:r>
        <w:rPr>
          <w:rFonts w:ascii="Courier New" w:cs="Courier New" w:eastAsia="Courier New" w:hAnsi="Courier New"/>
          <w:b/>
          <w:bCs/>
          <w:color w:val="1E56A0"/>
          <w:sz w:val="19"/>
          <w:szCs w:val="19"/>
        </w:rPr>
        <w:t xml:space="preserve">ROC-9  </w:t>
      </w:r>
      <w:r>
        <w:rPr>
          <w:rFonts w:ascii="Calibri" w:cs="Calibri" w:eastAsia="Calibri" w:hAnsi="Calibri"/>
          <w:sz w:val="21"/>
          <w:szCs w:val="21"/>
        </w:rPr>
        <w:t xml:space="preserve">SyniSense · Solva · Northena · Mtafiti · Targeta · Mkondo — the six engines. The Watch · The Ledger · Faculties (e.g. CIF) · Wizards (e.g. the Whitepaper Wizard) — four categories outside the six by design. Cross-Cutting — platform-wide doctrine owned by no single engine (the class of Document 16).</w:t>
      </w:r>
    </w:p>
    <w:p>
      <w:pPr>
        <w:pStyle w:val="Heading1"/>
        <w:pBdr>
          <w:bottom w:val="single" w:color="D7DEE8" w:sz="6" w:space="6"/>
        </w:pBdr>
        <w:spacing w:after="150" w:before="340"/>
      </w:pPr>
      <w:r>
        <w:rPr>
          <w:rFonts w:ascii="Cambria" w:cs="Cambria" w:eastAsia="Cambria" w:hAnsi="Cambria"/>
          <w:b/>
          <w:bCs/>
          <w:color w:val="12294E"/>
          <w:sz w:val="26"/>
          <w:szCs w:val="26"/>
        </w:rPr>
        <w:t xml:space="preserve">6   The Rule Registry</w:t>
      </w:r>
    </w:p>
    <w:p>
      <w:pPr>
        <w:spacing w:after="100" w:line="272"/>
        <w:ind w:left="240"/>
      </w:pPr>
      <w:r>
        <w:rPr>
          <w:rFonts w:ascii="Courier New" w:cs="Courier New" w:eastAsia="Courier New" w:hAnsi="Courier New"/>
          <w:b/>
          <w:bCs/>
          <w:color w:val="1E56A0"/>
          <w:sz w:val="19"/>
          <w:szCs w:val="19"/>
        </w:rPr>
        <w:t xml:space="preserve">ROC-10  </w:t>
      </w:r>
      <w:r>
        <w:rPr>
          <w:rFonts w:ascii="Calibri" w:cs="Calibri" w:eastAsia="Calibri" w:hAnsi="Calibri"/>
          <w:sz w:val="21"/>
          <w:szCs w:val="21"/>
        </w:rPr>
        <w:t xml:space="preserve">A single standing Rule Registry exists. Every rule's entry carries: ID · one-line statement · origination class and citation (§3) · status · enforcement class · domain · date last changed.</w:t>
      </w:r>
    </w:p>
    <w:p>
      <w:pPr>
        <w:spacing w:after="100" w:line="272"/>
        <w:ind w:left="240"/>
      </w:pPr>
      <w:r>
        <w:rPr>
          <w:rFonts w:ascii="Courier New" w:cs="Courier New" w:eastAsia="Courier New" w:hAnsi="Courier New"/>
          <w:b/>
          <w:bCs/>
          <w:color w:val="1E56A0"/>
          <w:sz w:val="19"/>
          <w:szCs w:val="19"/>
        </w:rPr>
        <w:t xml:space="preserve">ROC-11  </w:t>
      </w:r>
      <w:r>
        <w:rPr>
          <w:rFonts w:ascii="Calibri" w:cs="Calibri" w:eastAsia="Calibri" w:hAnsi="Calibri"/>
          <w:sz w:val="21"/>
          <w:szCs w:val="21"/>
        </w:rPr>
        <w:t xml:space="preserve">The Registry is append-only, on the custody discipline of Document 5's Ledger pattern. A rule's history — proposed, ratified, amended — remains visible; entries are superseded with the prior version retained, never overwritten.</w:t>
      </w:r>
    </w:p>
    <w:p>
      <w:pPr>
        <w:pStyle w:val="Heading1"/>
        <w:pBdr>
          <w:bottom w:val="single" w:color="D7DEE8" w:sz="6" w:space="6"/>
        </w:pBdr>
        <w:spacing w:after="150" w:before="340"/>
      </w:pPr>
      <w:r>
        <w:rPr>
          <w:rFonts w:ascii="Cambria" w:cs="Cambria" w:eastAsia="Cambria" w:hAnsi="Cambria"/>
          <w:b/>
          <w:bCs/>
          <w:color w:val="12294E"/>
          <w:sz w:val="26"/>
          <w:szCs w:val="26"/>
        </w:rPr>
        <w:t xml:space="preserve">7   Examples of Classification</w:t>
      </w:r>
    </w:p>
    <w:p>
      <w:pPr>
        <w:spacing w:after="150" w:line="280"/>
      </w:pPr>
      <w:r>
        <w:rPr>
          <w:rFonts w:ascii="Calibri" w:cs="Calibri" w:eastAsia="Calibri" w:hAnsi="Calibri"/>
          <w:sz w:val="21"/>
          <w:szCs w:val="21"/>
        </w:rPr>
        <w:t xml:space="preserve">Four rules from the canon, classified under §3–§5.</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1750"/>
        <w:gridCol w:w="2700"/>
        <w:gridCol w:w="2450"/>
        <w:gridCol w:w="2460"/>
      </w:tblGrid>
      <w:tr>
        <w:trPr>
          <w:tblHeader/>
        </w:trPr>
        <w:tc>
          <w:tcPr>
            <w:tcW w:type="dxa" w:w="1750"/>
            <w:shd w:fill="12294E" w:val="clear"/>
            <w:tcMar>
              <w:top w:type="dxa" w:w="80"/>
              <w:left w:type="dxa" w:w="110"/>
              <w:bottom w:type="dxa" w:w="80"/>
              <w:right w:type="dxa" w:w="110"/>
            </w:tcMar>
            <w:vAlign w:val="center"/>
          </w:tcPr>
          <w:p>
            <w:pPr>
              <w:spacing w:after="0" w:line="254"/>
            </w:pPr>
            <w:r>
              <w:rPr>
                <w:rFonts w:ascii="Calibri" w:cs="Calibri" w:eastAsia="Calibri" w:hAnsi="Calibri"/>
                <w:b/>
                <w:bCs/>
                <w:color w:val="FFFFFF"/>
                <w:sz w:val="18"/>
                <w:szCs w:val="18"/>
              </w:rPr>
              <w:t xml:space="preserve">Rule</w:t>
            </w:r>
          </w:p>
        </w:tc>
        <w:tc>
          <w:tcPr>
            <w:tcW w:type="dxa" w:w="2700"/>
            <w:shd w:fill="12294E" w:val="clear"/>
            <w:tcMar>
              <w:top w:type="dxa" w:w="80"/>
              <w:left w:type="dxa" w:w="110"/>
              <w:bottom w:type="dxa" w:w="80"/>
              <w:right w:type="dxa" w:w="110"/>
            </w:tcMar>
            <w:vAlign w:val="center"/>
          </w:tcPr>
          <w:p>
            <w:pPr>
              <w:spacing w:after="0" w:line="254"/>
            </w:pPr>
            <w:r>
              <w:rPr>
                <w:rFonts w:ascii="Calibri" w:cs="Calibri" w:eastAsia="Calibri" w:hAnsi="Calibri"/>
                <w:b/>
                <w:bCs/>
                <w:color w:val="FFFFFF"/>
                <w:sz w:val="18"/>
                <w:szCs w:val="18"/>
              </w:rPr>
              <w:t xml:space="preserve">Origination · citation</w:t>
            </w:r>
          </w:p>
        </w:tc>
        <w:tc>
          <w:tcPr>
            <w:tcW w:type="dxa" w:w="2450"/>
            <w:shd w:fill="12294E" w:val="clear"/>
            <w:tcMar>
              <w:top w:type="dxa" w:w="80"/>
              <w:left w:type="dxa" w:w="110"/>
              <w:bottom w:type="dxa" w:w="80"/>
              <w:right w:type="dxa" w:w="110"/>
            </w:tcMar>
            <w:vAlign w:val="center"/>
          </w:tcPr>
          <w:p>
            <w:pPr>
              <w:spacing w:after="0" w:line="254"/>
            </w:pPr>
            <w:r>
              <w:rPr>
                <w:rFonts w:ascii="Calibri" w:cs="Calibri" w:eastAsia="Calibri" w:hAnsi="Calibri"/>
                <w:b/>
                <w:bCs/>
                <w:color w:val="FFFFFF"/>
                <w:sz w:val="18"/>
                <w:szCs w:val="18"/>
              </w:rPr>
              <w:t xml:space="preserve">Status · enforcement</w:t>
            </w:r>
          </w:p>
        </w:tc>
        <w:tc>
          <w:tcPr>
            <w:tcW w:type="dxa" w:w="2460"/>
            <w:shd w:fill="12294E" w:val="clear"/>
            <w:tcMar>
              <w:top w:type="dxa" w:w="80"/>
              <w:left w:type="dxa" w:w="110"/>
              <w:bottom w:type="dxa" w:w="80"/>
              <w:right w:type="dxa" w:w="110"/>
            </w:tcMar>
            <w:vAlign w:val="center"/>
          </w:tcPr>
          <w:p>
            <w:pPr>
              <w:spacing w:after="0" w:line="254"/>
            </w:pPr>
            <w:r>
              <w:rPr>
                <w:rFonts w:ascii="Calibri" w:cs="Calibri" w:eastAsia="Calibri" w:hAnsi="Calibri"/>
                <w:b/>
                <w:bCs/>
                <w:color w:val="FFFFFF"/>
                <w:sz w:val="18"/>
                <w:szCs w:val="18"/>
              </w:rPr>
              <w:t xml:space="preserve">Domain</w:t>
            </w:r>
          </w:p>
        </w:tc>
      </w:tr>
      <w:tr>
        <w:trPr>
          <w:tblHeader w:val="false"/>
        </w:trPr>
        <w:tc>
          <w:tcPr>
            <w:tcW w:type="dxa" w:w="1750"/>
            <w:tcMar>
              <w:top w:type="dxa" w:w="80"/>
              <w:left w:type="dxa" w:w="110"/>
              <w:bottom w:type="dxa" w:w="80"/>
              <w:right w:type="dxa" w:w="110"/>
            </w:tcMar>
            <w:vAlign w:val="center"/>
          </w:tcPr>
          <w:p>
            <w:pPr>
              <w:spacing w:after="0" w:line="254"/>
            </w:pPr>
            <w:r>
              <w:rPr>
                <w:rFonts w:ascii="Calibri" w:cs="Calibri" w:eastAsia="Calibri" w:hAnsi="Calibri"/>
                <w:b/>
                <w:bCs/>
                <w:color w:val="12294E"/>
                <w:sz w:val="18"/>
                <w:szCs w:val="18"/>
              </w:rPr>
              <w:t xml:space="preserve">A5.1 — the single chokepoint</w:t>
            </w:r>
          </w:p>
        </w:tc>
        <w:tc>
          <w:tcPr>
            <w:tcW w:type="dxa" w:w="2700"/>
            <w:tcMar>
              <w:top w:type="dxa" w:w="80"/>
              <w:left w:type="dxa" w:w="110"/>
              <w:bottom w:type="dxa" w:w="80"/>
              <w:right w:type="dxa" w:w="110"/>
            </w:tcMar>
            <w:vAlign w:val="center"/>
          </w:tcPr>
          <w:p>
            <w:pPr>
              <w:spacing w:after="0" w:line="254"/>
            </w:pPr>
            <w:r>
              <w:rPr>
                <w:rFonts w:ascii="Calibri" w:cs="Calibri" w:eastAsia="Calibri" w:hAnsi="Calibri"/>
                <w:b w:val="false"/>
                <w:bCs w:val="false"/>
                <w:color w:val="222222"/>
                <w:sz w:val="18"/>
                <w:szCs w:val="18"/>
              </w:rPr>
              <w:t xml:space="preserve">PROMISE-DECOMPOSED · Promise #1, Document 1</w:t>
            </w:r>
          </w:p>
        </w:tc>
        <w:tc>
          <w:tcPr>
            <w:tcW w:type="dxa" w:w="2450"/>
            <w:tcMar>
              <w:top w:type="dxa" w:w="80"/>
              <w:left w:type="dxa" w:w="110"/>
              <w:bottom w:type="dxa" w:w="80"/>
              <w:right w:type="dxa" w:w="110"/>
            </w:tcMar>
            <w:vAlign w:val="center"/>
          </w:tcPr>
          <w:p>
            <w:pPr>
              <w:spacing w:after="0" w:line="254"/>
            </w:pPr>
            <w:r>
              <w:rPr>
                <w:rFonts w:ascii="Calibri" w:cs="Calibri" w:eastAsia="Calibri" w:hAnsi="Calibri"/>
                <w:b w:val="false"/>
                <w:bCs w:val="false"/>
                <w:color w:val="222222"/>
                <w:sz w:val="18"/>
                <w:szCs w:val="18"/>
              </w:rPr>
              <w:t xml:space="preserve">CANON · STRUCTURAL</w:t>
            </w:r>
          </w:p>
        </w:tc>
        <w:tc>
          <w:tcPr>
            <w:tcW w:type="dxa" w:w="2460"/>
            <w:tcMar>
              <w:top w:type="dxa" w:w="80"/>
              <w:left w:type="dxa" w:w="110"/>
              <w:bottom w:type="dxa" w:w="80"/>
              <w:right w:type="dxa" w:w="110"/>
            </w:tcMar>
            <w:vAlign w:val="center"/>
          </w:tcPr>
          <w:p>
            <w:pPr>
              <w:spacing w:after="0" w:line="254"/>
            </w:pPr>
            <w:r>
              <w:rPr>
                <w:rFonts w:ascii="Calibri" w:cs="Calibri" w:eastAsia="Calibri" w:hAnsi="Calibri"/>
                <w:b w:val="false"/>
                <w:bCs w:val="false"/>
                <w:color w:val="222222"/>
                <w:sz w:val="18"/>
                <w:szCs w:val="18"/>
              </w:rPr>
              <w:t xml:space="preserve">SyniSense</w:t>
            </w:r>
          </w:p>
        </w:tc>
      </w:tr>
      <w:tr>
        <w:trPr>
          <w:tblHeader w:val="false"/>
        </w:trPr>
        <w:tc>
          <w:tcPr>
            <w:tcW w:type="dxa" w:w="1750"/>
            <w:shd w:fill="F5F7FA" w:val="clear"/>
            <w:tcMar>
              <w:top w:type="dxa" w:w="80"/>
              <w:left w:type="dxa" w:w="110"/>
              <w:bottom w:type="dxa" w:w="80"/>
              <w:right w:type="dxa" w:w="110"/>
            </w:tcMar>
            <w:vAlign w:val="center"/>
          </w:tcPr>
          <w:p>
            <w:pPr>
              <w:spacing w:after="0" w:line="254"/>
            </w:pPr>
            <w:r>
              <w:rPr>
                <w:rFonts w:ascii="Calibri" w:cs="Calibri" w:eastAsia="Calibri" w:hAnsi="Calibri"/>
                <w:b/>
                <w:bCs/>
                <w:color w:val="12294E"/>
                <w:sz w:val="18"/>
                <w:szCs w:val="18"/>
              </w:rPr>
              <w:t xml:space="preserve">A17.9 — explicit execution mode</w:t>
            </w:r>
          </w:p>
        </w:tc>
        <w:tc>
          <w:tcPr>
            <w:tcW w:type="dxa" w:w="2700"/>
            <w:shd w:fill="F5F7FA" w:val="clear"/>
            <w:tcMar>
              <w:top w:type="dxa" w:w="80"/>
              <w:left w:type="dxa" w:w="110"/>
              <w:bottom w:type="dxa" w:w="80"/>
              <w:right w:type="dxa" w:w="110"/>
            </w:tcMar>
            <w:vAlign w:val="center"/>
          </w:tcPr>
          <w:p>
            <w:pPr>
              <w:spacing w:after="0" w:line="254"/>
            </w:pPr>
            <w:r>
              <w:rPr>
                <w:rFonts w:ascii="Calibri" w:cs="Calibri" w:eastAsia="Calibri" w:hAnsi="Calibri"/>
                <w:b w:val="false"/>
                <w:bCs w:val="false"/>
                <w:color w:val="222222"/>
                <w:sz w:val="18"/>
                <w:szCs w:val="18"/>
              </w:rPr>
              <w:t xml:space="preserve">OWNER-DIRECTED · Owner ruling 9.2a-E2 α, 10 July 2026</w:t>
            </w:r>
          </w:p>
        </w:tc>
        <w:tc>
          <w:tcPr>
            <w:tcW w:type="dxa" w:w="2450"/>
            <w:shd w:fill="F5F7FA" w:val="clear"/>
            <w:tcMar>
              <w:top w:type="dxa" w:w="80"/>
              <w:left w:type="dxa" w:w="110"/>
              <w:bottom w:type="dxa" w:w="80"/>
              <w:right w:type="dxa" w:w="110"/>
            </w:tcMar>
            <w:vAlign w:val="center"/>
          </w:tcPr>
          <w:p>
            <w:pPr>
              <w:spacing w:after="0" w:line="254"/>
            </w:pPr>
            <w:r>
              <w:rPr>
                <w:rFonts w:ascii="Calibri" w:cs="Calibri" w:eastAsia="Calibri" w:hAnsi="Calibri"/>
                <w:b w:val="false"/>
                <w:bCs w:val="false"/>
                <w:color w:val="222222"/>
                <w:sz w:val="18"/>
                <w:szCs w:val="18"/>
              </w:rPr>
              <w:t xml:space="preserve">CANON · STRUCTURAL</w:t>
            </w:r>
          </w:p>
        </w:tc>
        <w:tc>
          <w:tcPr>
            <w:tcW w:type="dxa" w:w="2460"/>
            <w:shd w:fill="F5F7FA" w:val="clear"/>
            <w:tcMar>
              <w:top w:type="dxa" w:w="80"/>
              <w:left w:type="dxa" w:w="110"/>
              <w:bottom w:type="dxa" w:w="80"/>
              <w:right w:type="dxa" w:w="110"/>
            </w:tcMar>
            <w:vAlign w:val="center"/>
          </w:tcPr>
          <w:p>
            <w:pPr>
              <w:spacing w:after="0" w:line="254"/>
            </w:pPr>
            <w:r>
              <w:rPr>
                <w:rFonts w:ascii="Calibri" w:cs="Calibri" w:eastAsia="Calibri" w:hAnsi="Calibri"/>
                <w:b w:val="false"/>
                <w:bCs w:val="false"/>
                <w:color w:val="222222"/>
                <w:sz w:val="18"/>
                <w:szCs w:val="18"/>
              </w:rPr>
              <w:t xml:space="preserve">Targeta</w:t>
            </w:r>
          </w:p>
        </w:tc>
      </w:tr>
      <w:tr>
        <w:trPr>
          <w:tblHeader w:val="false"/>
        </w:trPr>
        <w:tc>
          <w:tcPr>
            <w:tcW w:type="dxa" w:w="1750"/>
            <w:tcMar>
              <w:top w:type="dxa" w:w="80"/>
              <w:left w:type="dxa" w:w="110"/>
              <w:bottom w:type="dxa" w:w="80"/>
              <w:right w:type="dxa" w:w="110"/>
            </w:tcMar>
            <w:vAlign w:val="center"/>
          </w:tcPr>
          <w:p>
            <w:pPr>
              <w:spacing w:after="0" w:line="254"/>
            </w:pPr>
            <w:r>
              <w:rPr>
                <w:rFonts w:ascii="Calibri" w:cs="Calibri" w:eastAsia="Calibri" w:hAnsi="Calibri"/>
                <w:b/>
                <w:bCs/>
                <w:color w:val="12294E"/>
                <w:sz w:val="18"/>
                <w:szCs w:val="18"/>
              </w:rPr>
              <w:t xml:space="preserve">WPW-11 — Tier 3 eligibility</w:t>
            </w:r>
          </w:p>
        </w:tc>
        <w:tc>
          <w:tcPr>
            <w:tcW w:type="dxa" w:w="2700"/>
            <w:tcMar>
              <w:top w:type="dxa" w:w="80"/>
              <w:left w:type="dxa" w:w="110"/>
              <w:bottom w:type="dxa" w:w="80"/>
              <w:right w:type="dxa" w:w="110"/>
            </w:tcMar>
            <w:vAlign w:val="center"/>
          </w:tcPr>
          <w:p>
            <w:pPr>
              <w:spacing w:after="0" w:line="254"/>
            </w:pPr>
            <w:r>
              <w:rPr>
                <w:rFonts w:ascii="Calibri" w:cs="Calibri" w:eastAsia="Calibri" w:hAnsi="Calibri"/>
                <w:b w:val="false"/>
                <w:bCs w:val="false"/>
                <w:color w:val="222222"/>
                <w:sz w:val="18"/>
                <w:szCs w:val="18"/>
              </w:rPr>
              <w:t xml:space="preserve">EXTENSION · extends Promise #25, Document 14</w:t>
            </w:r>
          </w:p>
        </w:tc>
        <w:tc>
          <w:tcPr>
            <w:tcW w:type="dxa" w:w="2450"/>
            <w:tcMar>
              <w:top w:type="dxa" w:w="80"/>
              <w:left w:type="dxa" w:w="110"/>
              <w:bottom w:type="dxa" w:w="80"/>
              <w:right w:type="dxa" w:w="110"/>
            </w:tcMar>
            <w:vAlign w:val="center"/>
          </w:tcPr>
          <w:p>
            <w:pPr>
              <w:spacing w:after="0" w:line="254"/>
            </w:pPr>
            <w:r>
              <w:rPr>
                <w:rFonts w:ascii="Calibri" w:cs="Calibri" w:eastAsia="Calibri" w:hAnsi="Calibri"/>
                <w:b w:val="false"/>
                <w:bCs w:val="false"/>
                <w:color w:val="222222"/>
                <w:sz w:val="18"/>
                <w:szCs w:val="18"/>
              </w:rPr>
              <w:t xml:space="preserve">DEFAULT · MECHANICAL</w:t>
            </w:r>
          </w:p>
        </w:tc>
        <w:tc>
          <w:tcPr>
            <w:tcW w:type="dxa" w:w="2460"/>
            <w:tcMar>
              <w:top w:type="dxa" w:w="80"/>
              <w:left w:type="dxa" w:w="110"/>
              <w:bottom w:type="dxa" w:w="80"/>
              <w:right w:type="dxa" w:w="110"/>
            </w:tcMar>
            <w:vAlign w:val="center"/>
          </w:tcPr>
          <w:p>
            <w:pPr>
              <w:spacing w:after="0" w:line="254"/>
            </w:pPr>
            <w:r>
              <w:rPr>
                <w:rFonts w:ascii="Calibri" w:cs="Calibri" w:eastAsia="Calibri" w:hAnsi="Calibri"/>
                <w:b w:val="false"/>
                <w:bCs w:val="false"/>
                <w:color w:val="222222"/>
                <w:sz w:val="18"/>
                <w:szCs w:val="18"/>
              </w:rPr>
              <w:t xml:space="preserve">Wizards</w:t>
            </w:r>
          </w:p>
        </w:tc>
      </w:tr>
      <w:tr>
        <w:trPr>
          <w:tblHeader w:val="false"/>
        </w:trPr>
        <w:tc>
          <w:tcPr>
            <w:tcW w:type="dxa" w:w="1750"/>
            <w:shd w:fill="F5F7FA" w:val="clear"/>
            <w:tcMar>
              <w:top w:type="dxa" w:w="80"/>
              <w:left w:type="dxa" w:w="110"/>
              <w:bottom w:type="dxa" w:w="80"/>
              <w:right w:type="dxa" w:w="110"/>
            </w:tcMar>
            <w:vAlign w:val="center"/>
          </w:tcPr>
          <w:p>
            <w:pPr>
              <w:spacing w:after="0" w:line="254"/>
            </w:pPr>
            <w:r>
              <w:rPr>
                <w:rFonts w:ascii="Calibri" w:cs="Calibri" w:eastAsia="Calibri" w:hAnsi="Calibri"/>
                <w:b/>
                <w:bCs/>
                <w:color w:val="12294E"/>
                <w:sz w:val="18"/>
                <w:szCs w:val="18"/>
              </w:rPr>
              <w:t xml:space="preserve">EP-4 — evidence-register ordering</w:t>
            </w:r>
          </w:p>
        </w:tc>
        <w:tc>
          <w:tcPr>
            <w:tcW w:type="dxa" w:w="2700"/>
            <w:shd w:fill="F5F7FA" w:val="clear"/>
            <w:tcMar>
              <w:top w:type="dxa" w:w="80"/>
              <w:left w:type="dxa" w:w="110"/>
              <w:bottom w:type="dxa" w:w="80"/>
              <w:right w:type="dxa" w:w="110"/>
            </w:tcMar>
            <w:vAlign w:val="center"/>
          </w:tcPr>
          <w:p>
            <w:pPr>
              <w:spacing w:after="0" w:line="254"/>
            </w:pPr>
            <w:r>
              <w:rPr>
                <w:rFonts w:ascii="Calibri" w:cs="Calibri" w:eastAsia="Calibri" w:hAnsi="Calibri"/>
                <w:b w:val="false"/>
                <w:bCs w:val="false"/>
                <w:color w:val="222222"/>
                <w:sz w:val="18"/>
                <w:szCs w:val="18"/>
              </w:rPr>
              <w:t xml:space="preserve">ASSISTANT-PROPOSED · Document 19B</w:t>
            </w:r>
          </w:p>
        </w:tc>
        <w:tc>
          <w:tcPr>
            <w:tcW w:type="dxa" w:w="2450"/>
            <w:shd w:fill="F5F7FA" w:val="clear"/>
            <w:tcMar>
              <w:top w:type="dxa" w:w="80"/>
              <w:left w:type="dxa" w:w="110"/>
              <w:bottom w:type="dxa" w:w="80"/>
              <w:right w:type="dxa" w:w="110"/>
            </w:tcMar>
            <w:vAlign w:val="center"/>
          </w:tcPr>
          <w:p>
            <w:pPr>
              <w:spacing w:after="0" w:line="254"/>
            </w:pPr>
            <w:r>
              <w:rPr>
                <w:rFonts w:ascii="Calibri" w:cs="Calibri" w:eastAsia="Calibri" w:hAnsi="Calibri"/>
                <w:b w:val="false"/>
                <w:bCs w:val="false"/>
                <w:color w:val="222222"/>
                <w:sz w:val="18"/>
                <w:szCs w:val="18"/>
              </w:rPr>
              <w:t xml:space="preserve">OPEN · CEREMONIAL</w:t>
            </w:r>
          </w:p>
        </w:tc>
        <w:tc>
          <w:tcPr>
            <w:tcW w:type="dxa" w:w="2460"/>
            <w:shd w:fill="F5F7FA" w:val="clear"/>
            <w:tcMar>
              <w:top w:type="dxa" w:w="80"/>
              <w:left w:type="dxa" w:w="110"/>
              <w:bottom w:type="dxa" w:w="80"/>
              <w:right w:type="dxa" w:w="110"/>
            </w:tcMar>
            <w:vAlign w:val="center"/>
          </w:tcPr>
          <w:p>
            <w:pPr>
              <w:spacing w:after="0" w:line="254"/>
            </w:pPr>
            <w:r>
              <w:rPr>
                <w:rFonts w:ascii="Calibri" w:cs="Calibri" w:eastAsia="Calibri" w:hAnsi="Calibri"/>
                <w:b w:val="false"/>
                <w:bCs w:val="false"/>
                <w:color w:val="222222"/>
                <w:sz w:val="18"/>
                <w:szCs w:val="18"/>
              </w:rPr>
              <w:t xml:space="preserve">Cross-Cutting</w:t>
            </w:r>
          </w:p>
        </w:tc>
      </w:tr>
    </w:tbl>
    <w:p>
      <w:pPr>
        <w:pStyle w:val="Heading1"/>
        <w:pBdr>
          <w:bottom w:val="single" w:color="D7DEE8" w:sz="6" w:space="6"/>
        </w:pBdr>
        <w:spacing w:after="150" w:before="340"/>
      </w:pPr>
      <w:r>
        <w:rPr>
          <w:rFonts w:ascii="Cambria" w:cs="Cambria" w:eastAsia="Cambria" w:hAnsi="Cambria"/>
          <w:b/>
          <w:bCs/>
          <w:color w:val="12294E"/>
          <w:sz w:val="26"/>
          <w:szCs w:val="26"/>
        </w:rPr>
        <w:t xml:space="preserve">8   Non-Scope — Customer Rule Books</w:t>
      </w:r>
    </w:p>
    <w:p>
      <w:pPr>
        <w:spacing w:after="150" w:line="280"/>
      </w:pPr>
      <w:r>
        <w:rPr>
          <w:rFonts w:ascii="Calibri" w:cs="Calibri" w:eastAsia="Calibri" w:hAnsi="Calibri"/>
          <w:sz w:val="21"/>
          <w:szCs w:val="21"/>
        </w:rPr>
        <w:t xml:space="preserve">Customer rule books (Promise #27, Document 15) are a separate system this document does not govern: plain-language rules authored by whoever is accountable for them, adopted from templates, changed only through a signed ceremony with a cancellable countdown, and classed by their own bindingness taxonomy — hard line, ordinary, permission, managed list. That taxonomy answers how binding a customer's rule is; the axes in §5 answer how a system rule is enforced and where it came from.</w:t>
      </w:r>
    </w:p>
    <w:p>
      <w:pPr>
        <w:spacing w:after="150" w:line="280"/>
      </w:pPr>
      <w:r>
        <w:rPr>
          <w:rFonts w:ascii="Calibri" w:cs="Calibri" w:eastAsia="Calibri" w:hAnsi="Calibri"/>
          <w:sz w:val="21"/>
          <w:szCs w:val="21"/>
        </w:rPr>
        <w:t xml:space="preserve">The relationship between the two is one-directional. System rules bound what is structurally and mechanically possible; customer rules configure within that bound. A customer rule cannot relax a system rule whose enforcement class is STRUCTURAL or MECHANICAL. Where the two appear to conflict, the system rule's enforcement class decides which yields — not which was written more recently.</w:t>
      </w:r>
    </w:p>
    <w:p>
      <w:pPr>
        <w:pStyle w:val="Heading1"/>
        <w:pBdr>
          <w:bottom w:val="single" w:color="D7DEE8" w:sz="6" w:space="6"/>
        </w:pBdr>
        <w:spacing w:after="150" w:before="340"/>
      </w:pPr>
      <w:r>
        <w:rPr>
          <w:rFonts w:ascii="Cambria" w:cs="Cambria" w:eastAsia="Cambria" w:hAnsi="Cambria"/>
          <w:b/>
          <w:bCs/>
          <w:color w:val="12294E"/>
          <w:sz w:val="26"/>
          <w:szCs w:val="26"/>
        </w:rPr>
        <w:t xml:space="preserve">9   Owner Rulings — Parked</w:t>
      </w:r>
    </w:p>
    <w:p>
      <w:pPr>
        <w:spacing w:after="100" w:line="272"/>
        <w:ind w:left="240"/>
      </w:pPr>
      <w:r>
        <w:rPr>
          <w:rFonts w:ascii="Courier New" w:cs="Courier New" w:eastAsia="Courier New" w:hAnsi="Courier New"/>
          <w:b/>
          <w:bCs/>
          <w:color w:val="1E56A0"/>
          <w:sz w:val="19"/>
          <w:szCs w:val="19"/>
        </w:rPr>
        <w:t xml:space="preserve">OR-1  </w:t>
      </w:r>
      <w:r>
        <w:rPr>
          <w:rFonts w:ascii="Calibri" w:cs="Calibri" w:eastAsia="Calibri" w:hAnsi="Calibri"/>
          <w:sz w:val="21"/>
          <w:szCs w:val="21"/>
        </w:rPr>
        <w:t xml:space="preserve">Whether rules pre-dating this specification are entered into the Registry retrospectively, or the specification applies to new rules only with retrospective entry scheduled separately.</w:t>
      </w:r>
    </w:p>
    <w:p>
      <w:pPr>
        <w:spacing w:after="100" w:line="272"/>
        <w:ind w:left="240"/>
      </w:pPr>
      <w:r>
        <w:rPr>
          <w:rFonts w:ascii="Courier New" w:cs="Courier New" w:eastAsia="Courier New" w:hAnsi="Courier New"/>
          <w:b/>
          <w:bCs/>
          <w:color w:val="1E56A0"/>
          <w:sz w:val="19"/>
          <w:szCs w:val="19"/>
        </w:rPr>
        <w:t xml:space="preserve">OR-2  </w:t>
      </w:r>
      <w:r>
        <w:rPr>
          <w:rFonts w:ascii="Calibri" w:cs="Calibri" w:eastAsia="Calibri" w:hAnsi="Calibri"/>
          <w:sz w:val="21"/>
          <w:szCs w:val="21"/>
        </w:rPr>
        <w:t xml:space="preserve">Ratification of the Domain taxonomy (ROC-9) as the standing list, amended, or extended — including whether rendering and output layers warrant a category of their own.</w:t>
      </w:r>
    </w:p>
    <w:p>
      <w:pPr>
        <w:spacing w:after="100" w:line="272"/>
        <w:ind w:left="240"/>
      </w:pPr>
      <w:r>
        <w:rPr>
          <w:rFonts w:ascii="Courier New" w:cs="Courier New" w:eastAsia="Courier New" w:hAnsi="Courier New"/>
          <w:b/>
          <w:bCs/>
          <w:color w:val="1E56A0"/>
          <w:sz w:val="19"/>
          <w:szCs w:val="19"/>
        </w:rPr>
        <w:t xml:space="preserve">OR-3  </w:t>
      </w:r>
      <w:r>
        <w:rPr>
          <w:rFonts w:ascii="Calibri" w:cs="Calibri" w:eastAsia="Calibri" w:hAnsi="Calibri"/>
          <w:sz w:val="21"/>
          <w:szCs w:val="21"/>
        </w:rPr>
        <w:t xml:space="preserve">Whether the Rule Registry is a built platform surface or a maintained document.</w:t>
      </w:r>
    </w:p>
    <w:p>
      <w:pPr>
        <w:pBdr>
          <w:left w:val="single" w:color="1E56A0" w:sz="12" w:space="7"/>
        </w:pBdr>
        <w:shd w:fill="F5F7FA" w:val="clear"/>
        <w:spacing w:after="150" w:before="60" w:line="272"/>
        <w:ind w:left="110" w:right="110"/>
      </w:pPr>
      <w:r>
        <w:rPr>
          <w:rFonts w:ascii="Calibri" w:cs="Calibri" w:eastAsia="Calibri" w:hAnsi="Calibri"/>
          <w:color w:val="2A3B52"/>
          <w:sz w:val="20"/>
          <w:szCs w:val="20"/>
        </w:rPr>
        <w:t xml:space="preserve">These rulings do not block application of §2–§6 to any new rule.</w:t>
      </w:r>
    </w:p>
    <w:sectPr>
      <w:footerReference w:type="default" r:id="rId7"/>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rFonts w:ascii="Calibri" w:cs="Calibri" w:eastAsia="Calibri" w:hAnsi="Calibri"/>
        <w:i/>
        <w:iCs/>
        <w:color w:val="55606E"/>
        <w:sz w:val="14"/>
        <w:szCs w:val="14"/>
      </w:rPr>
      <w:t xml:space="preserve">Rule Origination &amp; Classification Criteria · rule_criteria_spec_v1 · Draft for owner ratification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2026-09-01T02:54:02.065Z</dcterms:created>
  <dcterms:modified xsi:type="dcterms:W3CDTF">2026-09-01T02:54:02.078Z</dcterms:modified>
</cp:coreProperties>
</file>

<file path=docProps/custom.xml><?xml version="1.0" encoding="utf-8"?>
<Properties xmlns="http://schemas.openxmlformats.org/officeDocument/2006/custom-properties" xmlns:vt="http://schemas.openxmlformats.org/officeDocument/2006/docPropsVTypes"/>
</file>