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2A44"/>
          <w:sz w:val="48"/>
        </w:rPr>
        <w:t>Language identification: training findings</w:t>
      </w:r>
    </w:p>
    <w:p>
      <w:pPr>
        <w:spacing w:after="200"/>
      </w:pPr>
      <w:r>
        <w:rPr>
          <w:i w:val="0"/>
          <w:color w:val="8A94A6"/>
          <w:sz w:val="17"/>
        </w:rPr>
        <w:t>Per-stratum results, coverage limits and the next improvement to fund  ·  RMS</w:t>
      </w:r>
    </w:p>
    <w:p>
      <w:pPr>
        <w:pStyle w:val="Heading1"/>
      </w:pPr>
      <w:r>
        <w:t>Summary</w:t>
      </w:r>
    </w:p>
    <w:p>
      <w:r>
        <w:t>The language identification model was trained for 2 epochs on 130124 RMS training units (9502124 tokens). It passes all 7 of 7 checks: every language is at or above the 90% floor, and none has regressed below the base. Macro accuracy rose by 68.2 points. The model is recorded as admitted.</w:t>
      </w:r>
    </w:p>
    <w:p>
      <w:r>
        <w:t>The result is strong but uneven in headroom. Kikamba (91.3%) and Luhya (93.5%) are closest to the floor, and Luhya abstains on 4.2% of items. The next improvement should therefore be targeted data for those two languages, followed by a review of abstention behaviour.</w:t>
      </w:r>
    </w:p>
    <w:p>
      <w:r>
        <w:t>The held-out results have been inspected, so they cannot count as independent final acceptance for any further recipe choice. This paper covers the retained measurements from this run only.</w:t>
      </w:r>
    </w:p>
    <w:p>
      <w:pPr>
        <w:pStyle w:val="Heading1"/>
      </w:pPr>
      <w:r>
        <w:t>Every language clears the floor; two have little headroom</w:t>
      </w:r>
    </w:p>
    <w:p>
      <w:r>
        <w:t>All 7 of 7 languages are at or above the 90% floor and none falls below the base. The largest gains came where the base was weakest. Kikamba rose from 0.0% to 91.3%, Ekegusii from 1.1% to 98.2%, and Luhya from 4.3% to 93.5%. Gikuyu reached 99.2% from 24.5%, and Kalenjin 99.7% from 11.9%.</w:t>
      </w:r>
    </w:p>
    <w:p>
      <w:r>
        <w:t>Kiswahili is the exception in kind. Its base already scored 98.4%, and the model reaches 99.0%, so the gain there is small. Kikamba and Luhya have the thinnest margins over the floor, and a modest drop on fresh material could take either below it. That is the main reason to prioritise them.</w:t>
      </w:r>
    </w:p>
    <w:p>
      <w:pPr>
        <w:pStyle w:val="Heading1"/>
      </w:pPr>
      <w:r>
        <w:t>Data, compute and abstention behind the result</w:t>
      </w:r>
    </w:p>
    <w:p>
      <w:r>
        <w:t>Training used 130124 units and 9502124 tokens of RMS transcripts. Scoring used a sealed held-out set of 2800 units. The record does not split that set by language, so the uncertainty around each per-language figure cannot be stated. This matters most for Kikamba and Luhya, where margins are thin.</w:t>
      </w:r>
    </w:p>
    <w:p>
      <w:r>
        <w:t>The run took 0.8 GPU-hours, or 49 minutes on one GPU. Compute is therefore not the constraint on iteration. Abstention varies from 0.5% for Gikuyu to 4.8% for Kiswahili, with Luhya at 4.2% and Kikamba at 1.8%. The record does not say whether abstentions count as errors in the accuracy figures.</w:t>
      </w:r>
    </w:p>
    <w:p>
      <w:pPr>
        <w:pStyle w:val="Heading1"/>
      </w:pPr>
      <w:r>
        <w:t>What to do first, and why</w:t>
      </w:r>
    </w:p>
    <w:p>
      <w:r>
        <w:t>First, expand Kikamba and Luhya training and held-out data, since these have the least headroom over the 90% floor. Second, confirm how abstention is scored, then review it for Luhya (4.2%) and Kiswahili (4.8%). Changing a threshold before knowing this could move accuracy without improving the model.</w:t>
      </w:r>
    </w:p>
    <w:p>
      <w:r>
        <w:t>Third, commission fresh, independently labelled sealed material before selecting another recipe, because the 2800 held-out units have been inspected. Fourth, change one thing per run. At 0.8 GPU-hours a run, this is affordable and lets any change in Kikamba or Luhya be attributed to its cause.</w:t>
      </w:r>
    </w:p>
    <w:p>
      <w:pPr>
        <w:pStyle w:val="Heading1"/>
      </w:pPr>
      <w:r>
        <w:t>What the record cannot yet establish</w:t>
      </w:r>
    </w:p>
    <w:p>
      <w:r>
        <w:t>Performance outside the measured languages and the sealed set is not established; an independently designed evaluation would close that gap. Independent final acceptance is not possible after further recipe selection on inspected results, and needs fresh, sealed, independently labelled material.</w:t>
      </w:r>
    </w:p>
    <w:p>
      <w:r>
        <w:t>No new production plan is linked to this historical run, so lineage from objective to production is incomplete. Closing it needs an explicitly compiled, evidence-linked objective, never a backdated assumption. Serving is a separate operation: the full adapter is served and the pruned adapter is admitted but not served. The record carries no evidence on privacy handling of the transcripts.</w:t>
      </w:r>
    </w:p>
    <w:p>
      <w:pPr>
        <w:pStyle w:val="Heading1"/>
      </w:pPr>
      <w:r>
        <w:t>Coverage and limits</w:t>
      </w:r>
    </w:p>
    <w:p>
      <w:r>
        <w:t>Covers: Retained model measurements and decisions from m9j-74af7cef0a85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General cognition or performance outside the measured strata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established by this run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An independently designed evaluation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Independent final acceptance after further recipe selection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These results have been inspected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Fresh independently labelled and sealed final material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Complete objective-to-production lineage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new production plan is linked to this historical run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An explicitly compiled and evidence-linked objective; never backdated assumptions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Measured training receipt and retained acceptance record for m9j-74af7cef0a85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m9j-74af7cef0a85   ·   Tenant confidential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identification: training findings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2026-10-02T02:36:11Z</dcterms:created>
  <dcterms:modified xsi:type="dcterms:W3CDTF">2026-10-02T02:36:11Z</dcterms:modified>
  <cp:category/>
</cp:coreProperties>
</file>