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Bookman Old Style" w:hAnsi="Bookman Old Style"/>
          <w:color w:val="22313F"/>
          <w:sz w:val="48"/>
        </w:rPr>
        <w:t>Depot automation programme: decision pack</w:t>
      </w:r>
    </w:p>
    <w:p>
      <w:pPr>
        <w:spacing w:after="200"/>
      </w:pPr>
      <w:r>
        <w:rPr>
          <w:i w:val="0"/>
          <w:color w:val="7F8C9A"/>
          <w:sz w:val="17"/>
        </w:rPr>
        <w:t>Board paper for the meeting of 14 October 2026  ·  Northline Logistics</w:t>
      </w:r>
    </w:p>
    <w:p>
      <w:pPr>
        <w:pStyle w:val="Heading1"/>
      </w:pPr>
      <w:r>
        <w:t>Summary</w:t>
      </w:r>
    </w:p>
    <w:p>
      <w:r>
        <w:t>Volume growth is outrunning the manual network's cost base. Revenue grew 20.2% over two years while operating margin fell 2.2pp.</w:t>
      </w:r>
    </w:p>
    <w:p>
      <w:r>
        <w:t>Three automation options are costed; simple payback runs from 3.2 to 3.3 years. Every option stays inside the FY27 headcount ceiling of 2,140. This paper sets out the evidence for each path; the decision is for the board.</w:t>
      </w:r>
    </w:p>
    <w:p>
      <w:pPr>
        <w:pStyle w:val="Heading1"/>
      </w:pPr>
      <w:r>
        <w:t>1. The margin problem is structural</w:t>
      </w:r>
    </w:p>
    <w:p>
      <w:r>
        <w:t>Margin has declined in each of the last two years. Manual depots cost 20.4% more per parcel than the network average.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7F8C9A"/>
          <w:sz w:val="17"/>
        </w:rPr>
        <w:t>Figure: Revenue grew 20.2% over two years while operating margin fell 2.2pp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Northline management accounts FY24–FY26, P&amp;L summary, rows 4–9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EEF2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4706"/>
            <w:shd w:val="clear" w:color="auto" w:fill="EAEEF2"/>
          </w:tcPr>
          <w:p>
            <w:r/>
            <w:r>
              <w:rPr>
                <w:b/>
                <w:sz w:val="19"/>
              </w:rPr>
              <w:t>GBP per parcel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Manual (6 sites)</w:t>
            </w:r>
          </w:p>
        </w:tc>
        <w:tc>
          <w:tcPr>
            <w:tcW w:type="dxa" w:w="4706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1.71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Semi-automated (3 sites)</w:t>
            </w:r>
          </w:p>
        </w:tc>
        <w:tc>
          <w:tcPr>
            <w:tcW w:type="dxa" w:w="4706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1.38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Automated (1 site)</w:t>
            </w:r>
          </w:p>
        </w:tc>
        <w:tc>
          <w:tcPr>
            <w:tcW w:type="dxa" w:w="4706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0.94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Cost per parcel by depot type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R02: Depot cost ledger export 2026-09-12, cost-per-parcel by site</w:t>
      </w:r>
    </w:p>
    <w:p>
      <w:pPr>
        <w:pStyle w:val="Heading1"/>
      </w:pPr>
      <w:r>
        <w:t>2. Three paths, each inside the headcount ceiling</w:t>
      </w:r>
    </w:p>
    <w:p>
      <w:r>
        <w:t>Three automation options are costed; simple payback runs from 3.2 to 3.3 years. Lead time of 11 months means the earliest saving lands in FY28 on any full-automation path.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Full automation, 6 manual sites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Phased: 3 sites now, 3 in FY28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Semi-automate all 6 sites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Capex (GBPm)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48.0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26.0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19.5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Annual saving (GBPm)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14.6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7.9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6.1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Simple payback (years)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3.3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3.3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3.2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Lead time (months)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11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11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7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Headcount change (FTE)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-310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-160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-120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Costed options; all figures estimated, receipts in appendix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[estimated]  Receipt R03, R04: Vendor quotations Q3-2026 (Kardex, Swisslog, Dematic), capex schedules; Operations planning model v7, tab 'Savings', signed off by COO 2026-09-18</w:t>
      </w:r>
    </w:p>
    <w:p>
      <w:r>
        <w:t>Every option stays inside the FY27 headcount ceiling of 2,140.</w:t>
      </w:r>
    </w:p>
    <w:p>
      <w:pPr>
        <w:pStyle w:val="Heading1"/>
      </w:pPr>
      <w:r>
        <w:t>3. Coverage and limits</w:t>
      </w:r>
    </w:p>
    <w:p>
      <w:r>
        <w:t>Covers: FY24–FY26 actuals for all ten depots and vendor-quoted capex for the six manual sites.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Savings beyond year three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outside scope of the COO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extend the operations planning model to a five-year horizon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Implementation risk by vendor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not measured; no reference-site visits completed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two reference-site visits per shortlisted vendor before contract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Union consultation timeline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rights-restricted until the consultation notice is issued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HR to confirm notice date</w:t>
            </w:r>
          </w:p>
        </w:tc>
      </w:tr>
    </w:tbl>
    <w:p>
      <w:pPr>
        <w:pStyle w:val="Heading1"/>
      </w:pPr>
      <w:r>
        <w:t>Appendix: receipts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EEF2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AEEF2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Northline management accounts FY24–FY26, P&amp;L summary, rows 4–9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Depot cost ledger export 2026-09-12, cost-per-parcel by site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Vendor quotations Q3-2026 (Kardex, Swisslog, Dematic), capex schedules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R04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Operations planning model v7, tab 'Savings', signed off by COO 2026-09-18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R05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Board paper BP-2026-07, approved headcount ceiling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F8C9A"/>
        <w:sz w:val="16"/>
      </w:rPr>
      <w:t xml:space="preserve">BP-2026-10-A (paper)   ·   Board confidential   ·   page </w:t>
    </w:r>
    <w:r>
      <w:rPr>
        <w:color w:val="7F8C9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Bookman Old Style" w:hAnsi="Bookman Old Style" w:eastAsia="Bookman Old Style" w:cs="Bookman Old Style"/>
      <w:b w:val="0"/>
      <w:bCs/>
      <w:color w:val="2231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Bookman Old Style" w:hAnsi="Bookman Old Style" w:eastAsia="Bookman Old Style" w:cs="Bookman Old Style"/>
      <w:b/>
      <w:bCs/>
      <w:color w:val="2231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Depot automation programme: decision pack</dc:title>
  <dc:subject/>
  <dc:creator>doc-studio</dc:creator>
  <cp:keywords/>
  <dc:description>generated by python-docx</dc:description>
  <cp:lastModifiedBy>doc-studio</cp:lastModifiedBy>
  <cp:revision>1</cp:revision>
  <dcterms:created xsi:type="dcterms:W3CDTF">2026-09-30T00:00:00Z</dcterms:created>
  <dcterms:modified xsi:type="dcterms:W3CDTF">2026-09-30T00:00:00Z</dcterms:modified>
  <cp:category/>
</cp:coreProperties>
</file>