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Estate-wide intelligence: cut, fix and prepare first</w:t>
      </w:r>
    </w:p>
    <w:p>
      <w:pPr>
        <w:spacing w:after="200"/>
      </w:pPr>
      <w:r>
        <w:rPr>
          <w:i w:val="0"/>
          <w:color w:val="70879A"/>
          <w:sz w:val="17"/>
        </w:rPr>
        <w:t>Databases, object store, file shares and language holdings, for one owner decision  ·  RMS</w:t>
      </w:r>
    </w:p>
    <w:p>
      <w:pPr>
        <w:pStyle w:val="Heading1"/>
      </w:pPr>
      <w:r>
        <w:t>Summary</w:t>
      </w:r>
    </w:p>
    <w:p>
      <w:r>
        <w:t>The estate holds 174.3 TiB, almost all of it in the object store (130.3 TiB) and file shares (43.6 TiB). The databases hold 351.3 GiB. The owner has declared all rights established, so this pack concerns cost, condition and preparation.</w:t>
      </w:r>
    </w:p>
    <w:p>
      <w:r>
        <w:t>Priced strategies bound the monthly saving at 1,174.4 USD at list prices, led by tiering of cold buckets at 986.5 USD. These are upper bounds, not invoice savings, and read use of the cold data was not measured.</w:t>
      </w:r>
    </w:p>
    <w:p>
      <w:r>
        <w:t>Database rows need completeness repair and de-identification or aggregation before products use them. Reference data and the content catalogue are the proposed first products. Nothing has been moved, deleted or released.</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Term</w:t>
            </w:r>
          </w:p>
        </w:tc>
        <w:tc>
          <w:tcPr>
            <w:tcW w:type="dxa" w:w="4706"/>
            <w:shd w:val="clear" w:color="auto" w:fill="E8EEF3"/>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bl>
    <w:p>
      <w:pPr>
        <w:pStyle w:val="Heading1"/>
      </w:pPr>
      <w:r>
        <w:t>The object store and file shares dominate the estate</w:t>
      </w:r>
    </w:p>
    <w:p>
      <w:r>
        <w:t>Of 174.3 TiB, the object store holds 130.3 TiB (74.8%) and file shares 43.6 TiB (25.0%). Databases are 0.2% of the estate. Store totals are rounded, so they should not be read as an exact reconciliation.</w:t>
      </w:r>
    </w:p>
    <w:p>
      <w:r>
        <w:t>The consequence is plain: carrying-cost work belongs with storage at scale. Databases matter for reuse value, not for bytes.</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0879A"/>
          <w:sz w:val="17"/>
        </w:rPr>
        <w:t>Figure: Cost attention belongs to storage scale; the databases, at 0.3 TiB, matter for reuse value rather than for bytes.</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One bucket holds most of the object store</w:t>
      </w:r>
    </w:p>
    <w:p>
      <w:r>
        <w:t>The largest bucket holds 86.3 TiB, 66.2% of the 130.3 TiB in the object store. Several of the next largest buckets are marked cold, meaning nothing new has been written for over a year.</w:t>
      </w:r>
    </w:p>
    <w:p>
      <w:r>
        <w:t>Size alone does not show waste, and no-write age does not show absence of reads. The table of buckets under review gives each bucket's last write and proposed action.</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0879A"/>
          <w:sz w:val="17"/>
        </w:rPr>
        <w:t>Figure: Review the largest buckets first, but size alone does not show waste; the table of buckets under review gives each one's last write.</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Where the whole estate sits</w:t>
      </w:r>
    </w:p>
    <w:p>
      <w:r>
        <w:t>The estate holds 174.3 TiB across three kinds of store. The object store holds 130.3 TiB in 106 buckets and 23.0m objects; file shares hold 43.6 TiB in 16 shares and 1.5m files; databases hold 351.3 GiB in 20 databases and 1006 tables.</w:t>
      </w:r>
    </w:p>
    <w:p>
      <w:r>
        <w:t>40 buckets could not be read, so the object-store figure covers readable buckets only. This is measured coverage, not a complete account of inaccessible sources.</w:t>
      </w:r>
    </w:p>
    <w:p>
      <w:pPr>
        <w:pStyle w:val="Heading1"/>
      </w:pPr>
      <w:r>
        <w:t>The exact sources under review</w:t>
      </w:r>
    </w:p>
    <w:p>
      <w:r>
        <w:t>41.9 TiB of the object store has not been written for over a year, across 43 buckets. 7.7 TiB, 5.0% of objects, are duplicate candidates matched on size and fingerprint, which for large uploads is not a content hash.</w:t>
      </w:r>
    </w:p>
    <w:p>
      <w:r>
        <w:t>The tables beside this chapter name each bucket, database table, file share and unreadable bucket. Database strategy bytes are strategy totals rather than table sizes, file-share duplication is unmeasured, and unreadable buckets need reconciling with the provider, not assuming deleted.</w:t>
      </w:r>
    </w:p>
    <w:p>
      <w:pPr>
        <w:spacing w:after="200"/>
      </w:pPr>
      <w:r>
        <w:rPr>
          <w:i w:val="0"/>
          <w:color w:val="70879A"/>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Bucket</w:t>
            </w:r>
          </w:p>
        </w:tc>
        <w:tc>
          <w:tcPr>
            <w:tcW w:type="dxa" w:w="784"/>
            <w:shd w:val="clear" w:color="auto" w:fill="E8EEF3"/>
          </w:tcPr>
          <w:p>
            <w:r/>
            <w:r>
              <w:rPr>
                <w:b/>
                <w:sz w:val="19"/>
              </w:rPr>
              <w:t>Enumeration</w:t>
            </w:r>
          </w:p>
        </w:tc>
        <w:tc>
          <w:tcPr>
            <w:tcW w:type="dxa" w:w="784"/>
            <w:shd w:val="clear" w:color="auto" w:fill="E8EEF3"/>
          </w:tcPr>
          <w:p>
            <w:r/>
            <w:r>
              <w:rPr>
                <w:b/>
                <w:sz w:val="19"/>
              </w:rPr>
              <w:t>Held (TiB)</w:t>
            </w:r>
          </w:p>
        </w:tc>
        <w:tc>
          <w:tcPr>
            <w:tcW w:type="dxa" w:w="784"/>
            <w:shd w:val="clear" w:color="auto" w:fill="E8EEF3"/>
          </w:tcPr>
          <w:p>
            <w:r/>
            <w:r>
              <w:rPr>
                <w:b/>
                <w:sz w:val="19"/>
              </w:rPr>
              <w:t>Objects</w:t>
            </w:r>
          </w:p>
        </w:tc>
        <w:tc>
          <w:tcPr>
            <w:tcW w:type="dxa" w:w="784"/>
            <w:shd w:val="clear" w:color="auto" w:fill="E8EEF3"/>
          </w:tcPr>
          <w:p>
            <w:r/>
            <w:r>
              <w:rPr>
                <w:b/>
                <w:sz w:val="19"/>
              </w:rPr>
              <w:t>Last write</w:t>
            </w:r>
          </w:p>
        </w:tc>
        <w:tc>
          <w:tcPr>
            <w:tcW w:type="dxa" w:w="784"/>
            <w:shd w:val="clear" w:color="auto" w:fill="E8EEF3"/>
          </w:tcPr>
          <w:p>
            <w:r/>
            <w:r>
              <w:rPr>
                <w:b/>
                <w:sz w:val="19"/>
              </w:rPr>
              <w:t>Idle days</w:t>
            </w:r>
          </w:p>
        </w:tc>
        <w:tc>
          <w:tcPr>
            <w:tcW w:type="dxa" w:w="784"/>
            <w:shd w:val="clear" w:color="auto" w:fill="E8EEF3"/>
          </w:tcPr>
          <w:p>
            <w:r/>
            <w:r>
              <w:rPr>
                <w:b/>
                <w:sz w:val="19"/>
              </w:rPr>
              <w:t>Duplicate candidates</w:t>
            </w:r>
          </w:p>
        </w:tc>
        <w:tc>
          <w:tcPr>
            <w:tcW w:type="dxa" w:w="784"/>
            <w:shd w:val="clear" w:color="auto" w:fill="E8EEF3"/>
          </w:tcPr>
          <w:p>
            <w:r/>
            <w:r>
              <w:rPr>
                <w:b/>
                <w:sz w:val="19"/>
              </w:rPr>
              <w:t>Duplicate bytes (TiB, est.)</w:t>
            </w:r>
          </w:p>
        </w:tc>
        <w:tc>
          <w:tcPr>
            <w:tcW w:type="dxa" w:w="784"/>
            <w:shd w:val="clear" w:color="auto" w:fill="E8EEF3"/>
          </w:tcPr>
          <w:p>
            <w:r/>
            <w:r>
              <w:rPr>
                <w:b/>
                <w:sz w:val="19"/>
              </w:rPr>
              <w:t>Main formats</w:t>
            </w:r>
          </w:p>
        </w:tc>
        <w:tc>
          <w:tcPr>
            <w:tcW w:type="dxa" w:w="784"/>
            <w:shd w:val="clear" w:color="auto" w:fill="E8EEF3"/>
          </w:tcPr>
          <w:p>
            <w:r/>
            <w:r>
              <w:rPr>
                <w:b/>
                <w:sz w:val="19"/>
              </w:rPr>
              <w:t>Classification</w:t>
            </w:r>
          </w:p>
        </w:tc>
        <w:tc>
          <w:tcPr>
            <w:tcW w:type="dxa" w:w="784"/>
            <w:shd w:val="clear" w:color="auto" w:fill="E8EEF3"/>
          </w:tcPr>
          <w:p>
            <w:r/>
            <w:r>
              <w:rPr>
                <w:b/>
                <w:sz w:val="19"/>
              </w:rPr>
              <w:t>Proposed action</w:t>
            </w:r>
          </w:p>
        </w:tc>
        <w:tc>
          <w:tcPr>
            <w:tcW w:type="dxa" w:w="784"/>
            <w:shd w:val="clear" w:color="auto" w:fill="E8EEF3"/>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86.3</w:t>
            </w:r>
          </w:p>
        </w:tc>
        <w:tc>
          <w:tcPr>
            <w:tcW w:type="dxa" w:w="784"/>
          </w:tcPr>
          <w:p>
            <w:pPr>
              <w:jc w:val="right"/>
            </w:pPr>
            <w:r/>
            <w:r>
              <w:rPr>
                <w:rFonts w:ascii="Courier New" w:hAnsi="Courier New"/>
                <w:sz w:val="19"/>
              </w:rPr>
              <w:t>3,174,515</w:t>
            </w:r>
          </w:p>
        </w:tc>
        <w:tc>
          <w:tcPr>
            <w:tcW w:type="dxa" w:w="784"/>
          </w:tcPr>
          <w:p>
            <w:pPr>
              <w:jc w:val="right"/>
            </w:pPr>
            <w:r/>
            <w:r>
              <w:rPr>
                <w:rFonts w:ascii="Courier New" w:hAnsi="Courier New"/>
                <w:sz w:val="19"/>
              </w:rPr>
              <w:t>2026-09-29</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16,589</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3,131,277, .mp3 27,002, no_extension 15,658</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909</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907</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908</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918</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lifecycle rule Standard → Archive after read-log check</w:t>
            </w:r>
          </w:p>
        </w:tc>
        <w:tc>
          <w:tcPr>
            <w:tcW w:type="dxa" w:w="784"/>
          </w:tcPr>
          <w:p>
            <w:pPr>
              <w:jc w:val="right"/>
            </w:pPr>
            <w:r/>
            <w:r>
              <w:rPr>
                <w:rFonts w:ascii="Courier New" w:hAnsi="Courier New"/>
                <w:sz w:val="19"/>
              </w:rPr>
              <w:t>same bucket, archive storage class (proposed)</w:t>
            </w:r>
          </w:p>
        </w:tc>
      </w:tr>
    </w:tbl>
    <w:p>
      <w:pPr>
        <w:spacing w:after="200"/>
      </w:pPr>
      <w:r>
        <w:rPr>
          <w:i/>
          <w:color w:val="70879A"/>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70879A"/>
          <w:sz w:val="17"/>
        </w:rPr>
        <w:t>[measured]  Receipt R04: OBS bucket enumeration census run cr-f1415e395361 (22,975,591 objects, 130.3 TiB)</w:t>
      </w:r>
    </w:p>
    <w:p>
      <w:pPr>
        <w:spacing w:after="200"/>
      </w:pPr>
      <w:r>
        <w:rPr>
          <w:i w:val="0"/>
          <w:color w:val="70879A"/>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8EEF3"/>
          </w:tcPr>
          <w:p>
            <w:r/>
            <w:r>
              <w:rPr>
                <w:b/>
                <w:sz w:val="19"/>
              </w:rPr>
              <w:t>Table (database.table)</w:t>
            </w:r>
          </w:p>
        </w:tc>
        <w:tc>
          <w:tcPr>
            <w:tcW w:type="dxa" w:w="1882"/>
            <w:shd w:val="clear" w:color="auto" w:fill="E8EEF3"/>
          </w:tcPr>
          <w:p>
            <w:r/>
            <w:r>
              <w:rPr>
                <w:b/>
                <w:sz w:val="19"/>
              </w:rPr>
              <w:t>Finding</w:t>
            </w:r>
          </w:p>
        </w:tc>
        <w:tc>
          <w:tcPr>
            <w:tcW w:type="dxa" w:w="1882"/>
            <w:shd w:val="clear" w:color="auto" w:fill="E8EEF3"/>
          </w:tcPr>
          <w:p>
            <w:r/>
            <w:r>
              <w:rPr>
                <w:b/>
                <w:sz w:val="19"/>
              </w:rPr>
              <w:t>Measured detail</w:t>
            </w:r>
          </w:p>
        </w:tc>
        <w:tc>
          <w:tcPr>
            <w:tcW w:type="dxa" w:w="1882"/>
            <w:shd w:val="clear" w:color="auto" w:fill="E8EEF3"/>
          </w:tcPr>
          <w:p>
            <w:r/>
            <w:r>
              <w:rPr>
                <w:b/>
                <w:sz w:val="19"/>
              </w:rPr>
              <w:t>Strategy bytes</w:t>
            </w:r>
          </w:p>
        </w:tc>
        <w:tc>
          <w:tcPr>
            <w:tcW w:type="dxa" w:w="1882"/>
            <w:shd w:val="clear" w:color="auto" w:fill="E8EEF3"/>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70879A"/>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70879A"/>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70879A"/>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8EEF3"/>
          </w:tcPr>
          <w:p>
            <w:r/>
            <w:r>
              <w:rPr>
                <w:b/>
                <w:sz w:val="19"/>
              </w:rPr>
              <w:t>Share</w:t>
            </w:r>
          </w:p>
        </w:tc>
        <w:tc>
          <w:tcPr>
            <w:tcW w:type="dxa" w:w="1345"/>
            <w:shd w:val="clear" w:color="auto" w:fill="E8EEF3"/>
          </w:tcPr>
          <w:p>
            <w:r/>
            <w:r>
              <w:rPr>
                <w:b/>
                <w:sz w:val="19"/>
              </w:rPr>
              <w:t>Enumeration</w:t>
            </w:r>
          </w:p>
        </w:tc>
        <w:tc>
          <w:tcPr>
            <w:tcW w:type="dxa" w:w="1345"/>
            <w:shd w:val="clear" w:color="auto" w:fill="E8EEF3"/>
          </w:tcPr>
          <w:p>
            <w:r/>
            <w:r>
              <w:rPr>
                <w:b/>
                <w:sz w:val="19"/>
              </w:rPr>
              <w:t>Held (TiB)</w:t>
            </w:r>
          </w:p>
        </w:tc>
        <w:tc>
          <w:tcPr>
            <w:tcW w:type="dxa" w:w="1345"/>
            <w:shd w:val="clear" w:color="auto" w:fill="E8EEF3"/>
          </w:tcPr>
          <w:p>
            <w:r/>
            <w:r>
              <w:rPr>
                <w:b/>
                <w:sz w:val="19"/>
              </w:rPr>
              <w:t>Files</w:t>
            </w:r>
          </w:p>
        </w:tc>
        <w:tc>
          <w:tcPr>
            <w:tcW w:type="dxa" w:w="1345"/>
            <w:shd w:val="clear" w:color="auto" w:fill="E8EEF3"/>
          </w:tcPr>
          <w:p>
            <w:r/>
            <w:r>
              <w:rPr>
                <w:b/>
                <w:sz w:val="19"/>
              </w:rPr>
              <w:t>Last write</w:t>
            </w:r>
          </w:p>
        </w:tc>
        <w:tc>
          <w:tcPr>
            <w:tcW w:type="dxa" w:w="1345"/>
            <w:shd w:val="clear" w:color="auto" w:fill="E8EEF3"/>
          </w:tcPr>
          <w:p>
            <w:r/>
            <w:r>
              <w:rPr>
                <w:b/>
                <w:sz w:val="19"/>
              </w:rPr>
              <w:t>Main formats</w:t>
            </w:r>
          </w:p>
        </w:tc>
        <w:tc>
          <w:tcPr>
            <w:tcW w:type="dxa" w:w="1345"/>
            <w:shd w:val="clear" w:color="auto" w:fill="E8EEF3"/>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95,635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95,627,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95,615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95,609,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95,592,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95,600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95,590,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95,550</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complete</w:t>
            </w:r>
          </w:p>
        </w:tc>
        <w:tc>
          <w:tcPr>
            <w:tcW w:type="dxa" w:w="1345"/>
          </w:tcPr>
          <w:p>
            <w:pPr>
              <w:jc w:val="right"/>
            </w:pPr>
            <w:r/>
            <w:r>
              <w:rPr>
                <w:rFonts w:ascii="Courier New" w:hAnsi="Courier New"/>
                <w:sz w:val="19"/>
              </w:rPr>
              <w:t>1.91</w:t>
            </w:r>
          </w:p>
        </w:tc>
        <w:tc>
          <w:tcPr>
            <w:tcW w:type="dxa" w:w="1345"/>
          </w:tcPr>
          <w:p>
            <w:pPr>
              <w:jc w:val="right"/>
            </w:pPr>
            <w:r/>
            <w:r>
              <w:rPr>
                <w:rFonts w:ascii="Courier New" w:hAnsi="Courier New"/>
                <w:sz w:val="19"/>
              </w:rPr>
              <w:t>95,548</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95,544,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95,494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95,490,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95,475</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95,470,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complete</w:t>
            </w:r>
          </w:p>
        </w:tc>
        <w:tc>
          <w:tcPr>
            <w:tcW w:type="dxa" w:w="1345"/>
          </w:tcPr>
          <w:p>
            <w:pPr>
              <w:jc w:val="right"/>
            </w:pPr>
            <w:r/>
            <w:r>
              <w:rPr>
                <w:rFonts w:ascii="Courier New" w:hAnsi="Courier New"/>
                <w:sz w:val="19"/>
              </w:rPr>
              <w:t>1.9</w:t>
            </w:r>
          </w:p>
        </w:tc>
        <w:tc>
          <w:tcPr>
            <w:tcW w:type="dxa" w:w="1345"/>
          </w:tcPr>
          <w:p>
            <w:pPr>
              <w:jc w:val="right"/>
            </w:pPr>
            <w:r/>
            <w:r>
              <w:rPr>
                <w:rFonts w:ascii="Courier New" w:hAnsi="Courier New"/>
                <w:sz w:val="19"/>
              </w:rPr>
              <w:t>95,419</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95,415,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70879A"/>
          <w:sz w:val="17"/>
        </w:rPr>
        <w:t>Sizes and dates were recorded; content fingerprints were not, so duplication across the channel shares is not yet measured.</w:t>
      </w:r>
    </w:p>
    <w:p>
      <w:pPr>
        <w:spacing w:after="200"/>
      </w:pPr>
      <w:r>
        <w:rPr>
          <w:rFonts w:ascii="Courier New" w:hAnsi="Courier New"/>
          <w:i w:val="0"/>
          <w:color w:val="70879A"/>
          <w:sz w:val="17"/>
        </w:rPr>
        <w:t>[measured]  Receipt R05: NAS share enumeration census run cr-cf4eef79995b (1,456,787 files, 43.6 TiB)</w:t>
      </w:r>
    </w:p>
    <w:p>
      <w:pPr>
        <w:spacing w:after="200"/>
      </w:pPr>
      <w:r>
        <w:rPr>
          <w:i w:val="0"/>
          <w:color w:val="70879A"/>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Bucket</w:t>
            </w:r>
          </w:p>
        </w:tc>
        <w:tc>
          <w:tcPr>
            <w:tcW w:type="dxa" w:w="3137"/>
            <w:shd w:val="clear" w:color="auto" w:fill="E8EEF3"/>
          </w:tcPr>
          <w:p>
            <w:r/>
            <w:r>
              <w:rPr>
                <w:b/>
                <w:sz w:val="19"/>
              </w:rPr>
              <w:t>Error returned</w:t>
            </w:r>
          </w:p>
        </w:tc>
        <w:tc>
          <w:tcPr>
            <w:tcW w:type="dxa" w:w="3137"/>
            <w:shd w:val="clear" w:color="auto" w:fill="E8EEF3"/>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70879A"/>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Two object-store moves address nearly all reclaimable bytes</w:t>
      </w:r>
    </w:p>
    <w:p>
      <w:r>
        <w:t>Cold-bucket tiering and duplicate reconciliation lead the strategies by a wide margin. The three largest strategies address 100.0% of the 50,799.8 GiB that all cost strategies reach.</w:t>
      </w:r>
    </w:p>
    <w:p>
      <w:r>
        <w:t>Addressed bytes include data moved to a cheaper tier, not only data removed. Because cold means unwritten rather than unread, retrieval behaviour must be checked first.</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0879A"/>
          <w:sz w:val="17"/>
        </w:rPr>
        <w:t>Figure: The three largest strategies address 100.0% of the 50,799.8 GiB that all strategies reach, and archive-class tiering is a cheaper tier, not deletion.</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priced moves compared</w:t>
      </w:r>
    </w:p>
    <w:p>
      <w:r>
        <w:t>Tiering cold buckets is bounded at 986.5 USD a month over 42,891.0 GiB. Reconciling duplicate objects is bounded at 180.3 USD over 7,839.5 GiB. Moving cold tables is bounded at 5.9 USD over 54.1 GiB.</w:t>
      </w:r>
    </w:p>
    <w:p>
      <w:r>
        <w:t>All three are list-price estimates, not invoice figures, and no current spend baseline was supplied. Each needs its own check: read use and retrieval fees, content hashing, and timestamp coverage respectively. Overall, the priced upper bound is 1,174.4 USD a month.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8EEF3"/>
          </w:tcPr>
          <w:p>
            <w:r/>
            <w:r>
              <w:rPr>
                <w:b/>
                <w:sz w:val="19"/>
              </w:rPr>
            </w:r>
          </w:p>
        </w:tc>
        <w:tc>
          <w:tcPr>
            <w:tcW w:type="dxa" w:w="2353"/>
            <w:shd w:val="clear" w:color="auto" w:fill="E8EEF3"/>
          </w:tcPr>
          <w:p>
            <w:r/>
            <w:r>
              <w:rPr>
                <w:b/>
                <w:sz w:val="19"/>
              </w:rPr>
              <w:t>Move buckets not written for over a year to archive-class st</w:t>
            </w:r>
          </w:p>
        </w:tc>
        <w:tc>
          <w:tcPr>
            <w:tcW w:type="dxa" w:w="2353"/>
            <w:shd w:val="clear" w:color="auto" w:fill="E8EEF3"/>
          </w:tcPr>
          <w:p>
            <w:r/>
            <w:r>
              <w:rPr>
                <w:b/>
                <w:sz w:val="19"/>
              </w:rPr>
              <w:t>Reconcile duplicate objects across OBS buckets</w:t>
            </w:r>
          </w:p>
        </w:tc>
        <w:tc>
          <w:tcPr>
            <w:tcW w:type="dxa" w:w="2353"/>
            <w:shd w:val="clear" w:color="auto" w:fill="E8EEF3"/>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7,839.5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70879A"/>
          <w:sz w:val="17"/>
        </w:rPr>
        <w:t>Monthly upper bounds at list prices are 986.5, 180.3 and 5.9 USD; each needs its own verification before action.</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Completeness and damage outweigh duplication</w:t>
      </w:r>
    </w:p>
    <w:p>
      <w:r>
        <w:t>An estimated 81.7% of rows carry empty required-looking fields and 23.0% are degraded, against 1.5% exact duplicates. 71.8% of 1.0m sampled rows carry personal-data markers.</w:t>
      </w:r>
    </w:p>
    <w:p>
      <w:r>
        <w:t>These measures have different bases, so they overlap and must not be added. They are estimates from complete passes where tables allowed and stratified samples elsewhere, and they should not be stretched to the whole estate.</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70879A"/>
          <w:sz w:val="17"/>
        </w:rPr>
        <w:t>Figure: Completeness is the main repair task: 81.7% of rows carry empty required-looking fields against 1.5% exact duplicates; the bases differ, so the shares must not be added.</w:t>
      </w:r>
    </w:p>
    <w:p>
      <w:pPr>
        <w:spacing w:after="200"/>
      </w:pPr>
      <w:r>
        <w:rPr>
          <w:rFonts w:ascii="Courier New" w:hAnsi="Courier New"/>
          <w:i w:val="0"/>
          <w:color w:val="70879A"/>
          <w:sz w:val="17"/>
        </w:rPr>
        <w:t>[estimated]  Receipt R01: Estate intelligence census eij-1b359b3cbd2e, digest-verified report (measured 2026-09-29), headline aggregates and per-database measures</w:t>
      </w:r>
    </w:p>
    <w:p>
      <w:pPr>
        <w:pStyle w:val="Heading1"/>
      </w:pPr>
      <w:r>
        <w:t>Database bytes are concentrated</w:t>
      </w:r>
    </w:p>
    <w:p>
      <w:r>
        <w:t>The largest databases hold 99.7% of the 351.3 GiB in databases, so database-scale investigation should start there.</w:t>
      </w:r>
    </w:p>
    <w:p>
      <w:r>
        <w:t>This is a prioritisation map. It does not show that the largest database causes every condition finding, nor that it holds most bytes of the whole estate.</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70879A"/>
          <w:sz w:val="17"/>
        </w:rPr>
        <w:t>Figure: The largest databases hold 99.7% of the 351.3 GiB; treat this as a map for effort, not proof that one database causes every condition finding.</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What condition the rows are in</w:t>
      </w:r>
    </w:p>
    <w:p>
      <w:r>
        <w:t>Exact duplicates are an estimated 1.5% of rows and degraded rows 23.0%. 81.7% of rows carry empty required-looking fields; these flags are heuristic, so decide per product which fields truly matter. Dead columns are 13.0% of measured columns.</w:t>
      </w:r>
    </w:p>
    <w:p>
      <w:r>
        <w:t>71.8% of the 1.0m sampled rows carry personal-data markers. That is a measured condition to prepare for, by de-identification or aggregation, and not a rights question. 15.4% of bytes have not been written for over a year.</w:t>
      </w:r>
    </w:p>
    <w:p>
      <w:pPr>
        <w:pStyle w:val="Heading1"/>
      </w:pPr>
      <w:r>
        <w:t>Speech hours by language folder</w:t>
      </w:r>
    </w:p>
    <w:p>
      <w:r>
        <w:t>Of 529.5 recorded hours, an estimated 421.4 are speech and 108.2 are music, found by removing windows the detector called music. Six larger folders carry most of the speech.</w:t>
      </w:r>
    </w:p>
    <w:p>
      <w:r>
        <w:t>The two smallest folders hold too little to support a pilot alone. Non-music duration is a detector-based proxy, not verified usable speech.</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70879A"/>
          <w:sz w:val="17"/>
        </w:rPr>
        <w:t>Figure: Six larger folders carry most of the speech; the two smallest folders hold too little to support a pilot on their own.</w:t>
      </w:r>
    </w:p>
    <w:p>
      <w:pPr>
        <w:spacing w:after="200"/>
      </w:pPr>
      <w:r>
        <w:rPr>
          <w:rFonts w:ascii="Courier New" w:hAnsi="Courier New"/>
          <w:i w:val="0"/>
          <w:color w:val="70879A"/>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Language agreement varies by folder</w:t>
      </w:r>
    </w:p>
    <w:p>
      <w:r>
        <w:t>Overall 82.3% of judged windows agree with the folder language, and the model declined to label 10.7%. Agreement differs between folders, and one folder shows none.</w:t>
      </w:r>
    </w:p>
    <w:p>
      <w:r>
        <w:t>These are model readings, not human labels. They justify a language review before packaging, not a claim about transcription accuracy or intelligibility.</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70879A"/>
          <w:sz w:val="17"/>
        </w:rPr>
        <w:t>Figure: Overall 82.3% of judged windows agree with the folder; the model declined to label 10.7%. These are model readings, not human verification.</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Audio condition and preparation needs</w:t>
      </w:r>
    </w:p>
    <w:p>
      <w:r>
        <w:t>The staged corpus holds 529.5 hours in 3958 files across 8 language folders. Music is the majority in 539 files and 20.4% of windows overall; filter these before any speech product. Digital silence was 0.0% of windows.</w:t>
      </w:r>
    </w:p>
    <w:p>
      <w:r>
        <w:t>Noise and intelligibility were not scored. For a bounded pilot, filter music, check language by folder and take a human listening sample. The reading cost 1.0 GPU-hours, so extending it is inexpensive.</w:t>
      </w:r>
    </w:p>
    <w:p>
      <w:pPr>
        <w:spacing w:after="200"/>
      </w:pPr>
      <w:r>
        <w:rPr>
          <w:i w:val="0"/>
          <w:color w:val="70879A"/>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 folder</w:t>
            </w:r>
          </w:p>
        </w:tc>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Hours recorded</w:t>
            </w:r>
          </w:p>
        </w:tc>
        <w:tc>
          <w:tcPr>
            <w:tcW w:type="dxa" w:w="1046"/>
            <w:shd w:val="clear" w:color="auto" w:fill="E8EEF3"/>
          </w:tcPr>
          <w:p>
            <w:r/>
            <w:r>
              <w:rPr>
                <w:b/>
                <w:sz w:val="19"/>
              </w:rPr>
              <w:t>Speech hours (est.)</w:t>
            </w:r>
          </w:p>
        </w:tc>
        <w:tc>
          <w:tcPr>
            <w:tcW w:type="dxa" w:w="1046"/>
            <w:shd w:val="clear" w:color="auto" w:fill="E8EEF3"/>
          </w:tcPr>
          <w:p>
            <w:r/>
            <w:r>
              <w:rPr>
                <w:b/>
                <w:sz w:val="19"/>
              </w:rPr>
              <w:t>Music hours (est.)</w:t>
            </w:r>
          </w:p>
        </w:tc>
        <w:tc>
          <w:tcPr>
            <w:tcW w:type="dxa" w:w="1046"/>
            <w:shd w:val="clear" w:color="auto" w:fill="E8EEF3"/>
          </w:tcPr>
          <w:p>
            <w:r/>
            <w:r>
              <w:rPr>
                <w:b/>
                <w:sz w:val="19"/>
              </w:rPr>
              <w:t>Agrees with folder</w:t>
            </w:r>
          </w:p>
        </w:tc>
        <w:tc>
          <w:tcPr>
            <w:tcW w:type="dxa" w:w="1046"/>
            <w:shd w:val="clear" w:color="auto" w:fill="E8EEF3"/>
          </w:tcPr>
          <w:p>
            <w:r/>
            <w:r>
              <w:rPr>
                <w:b/>
                <w:sz w:val="19"/>
              </w:rPr>
              <w:t>Declined to label</w:t>
            </w:r>
          </w:p>
        </w:tc>
        <w:tc>
          <w:tcPr>
            <w:tcW w:type="dxa" w:w="1046"/>
            <w:shd w:val="clear" w:color="auto" w:fill="E8EEF3"/>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70879A"/>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70879A"/>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Language</w:t>
            </w:r>
          </w:p>
        </w:tc>
        <w:tc>
          <w:tcPr>
            <w:tcW w:type="dxa" w:w="1046"/>
            <w:shd w:val="clear" w:color="auto" w:fill="E8EEF3"/>
          </w:tcPr>
          <w:p>
            <w:r/>
            <w:r>
              <w:rPr>
                <w:b/>
                <w:sz w:val="19"/>
              </w:rPr>
              <w:t>Files</w:t>
            </w:r>
          </w:p>
        </w:tc>
        <w:tc>
          <w:tcPr>
            <w:tcW w:type="dxa" w:w="1046"/>
            <w:shd w:val="clear" w:color="auto" w:fill="E8EEF3"/>
          </w:tcPr>
          <w:p>
            <w:r/>
            <w:r>
              <w:rPr>
                <w:b/>
                <w:sz w:val="19"/>
              </w:rPr>
              <w:t>Decode failures</w:t>
            </w:r>
          </w:p>
        </w:tc>
        <w:tc>
          <w:tcPr>
            <w:tcW w:type="dxa" w:w="1046"/>
            <w:shd w:val="clear" w:color="auto" w:fill="E8EEF3"/>
          </w:tcPr>
          <w:p>
            <w:r/>
            <w:r>
              <w:rPr>
                <w:b/>
                <w:sz w:val="19"/>
              </w:rPr>
              <w:t>Silence (windows)</w:t>
            </w:r>
          </w:p>
        </w:tc>
        <w:tc>
          <w:tcPr>
            <w:tcW w:type="dxa" w:w="1046"/>
            <w:shd w:val="clear" w:color="auto" w:fill="E8EEF3"/>
          </w:tcPr>
          <w:p>
            <w:r/>
            <w:r>
              <w:rPr>
                <w:b/>
                <w:sz w:val="19"/>
              </w:rPr>
              <w:t>Music-majority files</w:t>
            </w:r>
          </w:p>
        </w:tc>
        <w:tc>
          <w:tcPr>
            <w:tcW w:type="dxa" w:w="1046"/>
            <w:shd w:val="clear" w:color="auto" w:fill="E8EEF3"/>
          </w:tcPr>
          <w:p>
            <w:r/>
            <w:r>
              <w:rPr>
                <w:b/>
                <w:sz w:val="19"/>
              </w:rPr>
              <w:t>Mixed-language files</w:t>
            </w:r>
          </w:p>
        </w:tc>
        <w:tc>
          <w:tcPr>
            <w:tcW w:type="dxa" w:w="1046"/>
            <w:shd w:val="clear" w:color="auto" w:fill="E8EEF3"/>
          </w:tcPr>
          <w:p>
            <w:r/>
            <w:r>
              <w:rPr>
                <w:b/>
                <w:sz w:val="19"/>
              </w:rPr>
              <w:t>Low-confidence files</w:t>
            </w:r>
          </w:p>
        </w:tc>
        <w:tc>
          <w:tcPr>
            <w:tcW w:type="dxa" w:w="1046"/>
            <w:shd w:val="clear" w:color="auto" w:fill="E8EEF3"/>
          </w:tcPr>
          <w:p>
            <w:r/>
            <w:r>
              <w:rPr>
                <w:b/>
                <w:sz w:val="19"/>
              </w:rPr>
              <w:t>Mean confidence</w:t>
            </w:r>
          </w:p>
        </w:tc>
        <w:tc>
          <w:tcPr>
            <w:tcW w:type="dxa" w:w="1046"/>
            <w:shd w:val="clear" w:color="auto" w:fill="E8EEF3"/>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70879A"/>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70879A"/>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totalling 189.3m characters. Holdings are uneven across stations.</w:t>
      </w:r>
    </w:p>
    <w:p>
      <w:r>
        <w:t>The language shown is the station's broadcast language from the estate's own table. The scripts were counted and sized, not read.</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70879A"/>
          <w:sz w:val="17"/>
        </w:rPr>
        <w:t>Figure: Holdings total 248841 scripts from 13 stations; the language shown is the station's broadcast language, not a reading of each script.</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Even on days that carry scripts, no station averages a full day of bulletin hours. Scripts exist on only 226 dates across a 1432-day span, 15.8% of days.</w:t>
      </w:r>
    </w:p>
    <w:p>
      <w:r>
        <w:t>Coverage cannot therefore be assumed continuous. The day-level and hour-slot tables show exactly which days and hours exist.</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70879A"/>
          <w:sz w:val="17"/>
        </w:rPr>
        <w:t>Figure: Scripts exist on only 226 dates across 1432 days (15.8%), so coverage cannot be assumed continuous; the day-level tables show exactly which hours exist.</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Three text inventories, kept separate</w:t>
      </w:r>
    </w:p>
    <w:p>
      <w:r>
        <w:t>News scripts number 248841 live rows, of which 38.0% are revisions; 159100 distinct texts remain (63.9%) and 10206 rows are marked deleted. Deduplicate before any use. The text model read 2245 transcripts, and 99.4% of passages agree with the folder language; 1694 transcripts were not reached.</w:t>
      </w:r>
    </w:p>
    <w:p>
      <w:r>
        <w:t>The workbench registers 83014 recordings, 12,290.6 hours and 489418 segments in 13 languages. It is a separate inventory that may overlap the staged corpus, so the inventories are never added together.</w:t>
      </w:r>
    </w:p>
    <w:p>
      <w:pPr>
        <w:spacing w:after="200"/>
      </w:pPr>
      <w:r>
        <w:rPr>
          <w:i w:val="0"/>
          <w:color w:val="70879A"/>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8EEF3"/>
          </w:tcPr>
          <w:p>
            <w:r/>
            <w:r>
              <w:rPr>
                <w:b/>
                <w:sz w:val="19"/>
              </w:rPr>
              <w:t>Station</w:t>
            </w:r>
          </w:p>
        </w:tc>
        <w:tc>
          <w:tcPr>
            <w:tcW w:type="dxa" w:w="784"/>
            <w:shd w:val="clear" w:color="auto" w:fill="E8EEF3"/>
          </w:tcPr>
          <w:p>
            <w:r/>
            <w:r>
              <w:rPr>
                <w:b/>
                <w:sz w:val="19"/>
              </w:rPr>
              <w:t>Broadcast language</w:t>
            </w:r>
          </w:p>
        </w:tc>
        <w:tc>
          <w:tcPr>
            <w:tcW w:type="dxa" w:w="784"/>
            <w:shd w:val="clear" w:color="auto" w:fill="E8EEF3"/>
          </w:tcPr>
          <w:p>
            <w:r/>
            <w:r>
              <w:rPr>
                <w:b/>
                <w:sz w:val="19"/>
              </w:rPr>
              <w:t>Live scripts</w:t>
            </w:r>
          </w:p>
        </w:tc>
        <w:tc>
          <w:tcPr>
            <w:tcW w:type="dxa" w:w="784"/>
            <w:shd w:val="clear" w:color="auto" w:fill="E8EEF3"/>
          </w:tcPr>
          <w:p>
            <w:r/>
            <w:r>
              <w:rPr>
                <w:b/>
                <w:sz w:val="19"/>
              </w:rPr>
              <w:t>Deleted</w:t>
            </w:r>
          </w:p>
        </w:tc>
        <w:tc>
          <w:tcPr>
            <w:tcW w:type="dxa" w:w="784"/>
            <w:shd w:val="clear" w:color="auto" w:fill="E8EEF3"/>
          </w:tcPr>
          <w:p>
            <w:r/>
            <w:r>
              <w:rPr>
                <w:b/>
                <w:sz w:val="19"/>
              </w:rPr>
              <w:t>Scripted days</w:t>
            </w:r>
          </w:p>
        </w:tc>
        <w:tc>
          <w:tcPr>
            <w:tcW w:type="dxa" w:w="784"/>
            <w:shd w:val="clear" w:color="auto" w:fill="E8EEF3"/>
          </w:tcPr>
          <w:p>
            <w:r/>
            <w:r>
              <w:rPr>
                <w:b/>
                <w:sz w:val="19"/>
              </w:rPr>
              <w:t>First date</w:t>
            </w:r>
          </w:p>
        </w:tc>
        <w:tc>
          <w:tcPr>
            <w:tcW w:type="dxa" w:w="784"/>
            <w:shd w:val="clear" w:color="auto" w:fill="E8EEF3"/>
          </w:tcPr>
          <w:p>
            <w:r/>
            <w:r>
              <w:rPr>
                <w:b/>
                <w:sz w:val="19"/>
              </w:rPr>
              <w:t>Last date</w:t>
            </w:r>
          </w:p>
        </w:tc>
        <w:tc>
          <w:tcPr>
            <w:tcW w:type="dxa" w:w="784"/>
            <w:shd w:val="clear" w:color="auto" w:fill="E8EEF3"/>
          </w:tcPr>
          <w:p>
            <w:r/>
            <w:r>
              <w:rPr>
                <w:b/>
                <w:sz w:val="19"/>
              </w:rPr>
              <w:t>Scripts per scripted day</w:t>
            </w:r>
          </w:p>
        </w:tc>
        <w:tc>
          <w:tcPr>
            <w:tcW w:type="dxa" w:w="784"/>
            <w:shd w:val="clear" w:color="auto" w:fill="E8EEF3"/>
          </w:tcPr>
          <w:p>
            <w:r/>
            <w:r>
              <w:rPr>
                <w:b/>
                <w:sz w:val="19"/>
              </w:rPr>
              <w:t>Bulletin hours per scripted day</w:t>
            </w:r>
          </w:p>
        </w:tc>
        <w:tc>
          <w:tcPr>
            <w:tcW w:type="dxa" w:w="784"/>
            <w:shd w:val="clear" w:color="auto" w:fill="E8EEF3"/>
          </w:tcPr>
          <w:p>
            <w:r/>
            <w:r>
              <w:rPr>
                <w:b/>
                <w:sz w:val="19"/>
              </w:rPr>
              <w:t>Days with all twenty-four hours</w:t>
            </w:r>
          </w:p>
        </w:tc>
        <w:tc>
          <w:tcPr>
            <w:tcW w:type="dxa" w:w="784"/>
            <w:shd w:val="clear" w:color="auto" w:fill="E8EEF3"/>
          </w:tcPr>
          <w:p>
            <w:r/>
            <w:r>
              <w:rPr>
                <w:b/>
                <w:sz w:val="19"/>
              </w:rPr>
              <w:t>Hour slots configured</w:t>
            </w:r>
          </w:p>
        </w:tc>
        <w:tc>
          <w:tcPr>
            <w:tcW w:type="dxa" w:w="784"/>
            <w:shd w:val="clear" w:color="auto" w:fill="E8EEF3"/>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70879A"/>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70879A"/>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8EEF3"/>
          </w:tcPr>
          <w:p>
            <w:r/>
            <w:r>
              <w:rPr>
                <w:b/>
                <w:sz w:val="19"/>
              </w:rPr>
              <w:t>Language folder</w:t>
            </w:r>
          </w:p>
        </w:tc>
        <w:tc>
          <w:tcPr>
            <w:tcW w:type="dxa" w:w="1176"/>
            <w:shd w:val="clear" w:color="auto" w:fill="E8EEF3"/>
          </w:tcPr>
          <w:p>
            <w:r/>
            <w:r>
              <w:rPr>
                <w:b/>
                <w:sz w:val="19"/>
              </w:rPr>
              <w:t>Language</w:t>
            </w:r>
          </w:p>
        </w:tc>
        <w:tc>
          <w:tcPr>
            <w:tcW w:type="dxa" w:w="1176"/>
            <w:shd w:val="clear" w:color="auto" w:fill="E8EEF3"/>
          </w:tcPr>
          <w:p>
            <w:r/>
            <w:r>
              <w:rPr>
                <w:b/>
                <w:sz w:val="19"/>
              </w:rPr>
              <w:t>Transcripts read</w:t>
            </w:r>
          </w:p>
        </w:tc>
        <w:tc>
          <w:tcPr>
            <w:tcW w:type="dxa" w:w="1176"/>
            <w:shd w:val="clear" w:color="auto" w:fill="E8EEF3"/>
          </w:tcPr>
          <w:p>
            <w:r/>
            <w:r>
              <w:rPr>
                <w:b/>
                <w:sz w:val="19"/>
              </w:rPr>
              <w:t>Characters</w:t>
            </w:r>
          </w:p>
        </w:tc>
        <w:tc>
          <w:tcPr>
            <w:tcW w:type="dxa" w:w="1176"/>
            <w:shd w:val="clear" w:color="auto" w:fill="E8EEF3"/>
          </w:tcPr>
          <w:p>
            <w:r/>
            <w:r>
              <w:rPr>
                <w:b/>
                <w:sz w:val="19"/>
              </w:rPr>
              <w:t>Words</w:t>
            </w:r>
          </w:p>
        </w:tc>
        <w:tc>
          <w:tcPr>
            <w:tcW w:type="dxa" w:w="1176"/>
            <w:shd w:val="clear" w:color="auto" w:fill="E8EEF3"/>
          </w:tcPr>
          <w:p>
            <w:r/>
            <w:r>
              <w:rPr>
                <w:b/>
                <w:sz w:val="19"/>
              </w:rPr>
              <w:t>Passages labelled</w:t>
            </w:r>
          </w:p>
        </w:tc>
        <w:tc>
          <w:tcPr>
            <w:tcW w:type="dxa" w:w="1176"/>
            <w:shd w:val="clear" w:color="auto" w:fill="E8EEF3"/>
          </w:tcPr>
          <w:p>
            <w:r/>
            <w:r>
              <w:rPr>
                <w:b/>
                <w:sz w:val="19"/>
              </w:rPr>
              <w:t>Agrees with folder</w:t>
            </w:r>
          </w:p>
        </w:tc>
        <w:tc>
          <w:tcPr>
            <w:tcW w:type="dxa" w:w="1176"/>
            <w:shd w:val="clear" w:color="auto" w:fill="E8EEF3"/>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698</w:t>
            </w:r>
          </w:p>
        </w:tc>
        <w:tc>
          <w:tcPr>
            <w:tcW w:type="dxa" w:w="1176"/>
          </w:tcPr>
          <w:p>
            <w:pPr>
              <w:jc w:val="right"/>
            </w:pPr>
            <w:r/>
            <w:r>
              <w:rPr>
                <w:rFonts w:ascii="Courier New" w:hAnsi="Courier New"/>
                <w:sz w:val="19"/>
              </w:rPr>
              <w:t>4474462</w:t>
            </w:r>
          </w:p>
        </w:tc>
        <w:tc>
          <w:tcPr>
            <w:tcW w:type="dxa" w:w="1176"/>
          </w:tcPr>
          <w:p>
            <w:pPr>
              <w:jc w:val="right"/>
            </w:pPr>
            <w:r/>
            <w:r>
              <w:rPr>
                <w:rFonts w:ascii="Courier New" w:hAnsi="Courier New"/>
                <w:sz w:val="19"/>
              </w:rPr>
              <w:t>638478</w:t>
            </w:r>
          </w:p>
        </w:tc>
        <w:tc>
          <w:tcPr>
            <w:tcW w:type="dxa" w:w="1176"/>
          </w:tcPr>
          <w:p>
            <w:pPr>
              <w:jc w:val="right"/>
            </w:pPr>
            <w:r/>
            <w:r>
              <w:rPr>
                <w:rFonts w:ascii="Courier New" w:hAnsi="Courier New"/>
                <w:sz w:val="19"/>
              </w:rPr>
              <w:t>3344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697</w:t>
            </w:r>
          </w:p>
        </w:tc>
      </w:tr>
      <w:tr>
        <w:tc>
          <w:tcPr>
            <w:tcW w:type="dxa" w:w="1176"/>
          </w:tcPr>
          <w:p>
            <w:r/>
            <w:r>
              <w:rPr>
                <w:sz w:val="19"/>
              </w:rPr>
              <w:t>kik</w:t>
            </w:r>
          </w:p>
        </w:tc>
        <w:tc>
          <w:tcPr>
            <w:tcW w:type="dxa" w:w="1176"/>
          </w:tcPr>
          <w:p>
            <w:r/>
            <w:r>
              <w:rPr>
                <w:sz w:val="19"/>
              </w:rPr>
              <w:t>Gikuyu (Kikuyu)</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1767236</w:t>
            </w:r>
          </w:p>
        </w:tc>
        <w:tc>
          <w:tcPr>
            <w:tcW w:type="dxa" w:w="1176"/>
          </w:tcPr>
          <w:p>
            <w:pPr>
              <w:jc w:val="right"/>
            </w:pPr>
            <w:r/>
            <w:r>
              <w:rPr>
                <w:rFonts w:ascii="Courier New" w:hAnsi="Courier New"/>
                <w:sz w:val="19"/>
              </w:rPr>
              <w:t>272741</w:t>
            </w:r>
          </w:p>
        </w:tc>
        <w:tc>
          <w:tcPr>
            <w:tcW w:type="dxa" w:w="1176"/>
          </w:tcPr>
          <w:p>
            <w:pPr>
              <w:jc w:val="right"/>
            </w:pPr>
            <w:r/>
            <w:r>
              <w:rPr>
                <w:rFonts w:ascii="Courier New" w:hAnsi="Courier New"/>
                <w:sz w:val="19"/>
              </w:rPr>
              <w:t>1323</w:t>
            </w:r>
          </w:p>
        </w:tc>
        <w:tc>
          <w:tcPr>
            <w:tcW w:type="dxa" w:w="1176"/>
          </w:tcPr>
          <w:p>
            <w:pPr>
              <w:jc w:val="right"/>
            </w:pPr>
            <w:r/>
            <w:r>
              <w:rPr>
                <w:rFonts w:ascii="Courier New" w:hAnsi="Courier New"/>
                <w:sz w:val="19"/>
              </w:rPr>
              <w:t>99.3%</w:t>
            </w:r>
          </w:p>
        </w:tc>
        <w:tc>
          <w:tcPr>
            <w:tcW w:type="dxa" w:w="1176"/>
          </w:tcPr>
          <w:p>
            <w:pPr>
              <w:jc w:val="right"/>
            </w:pPr>
            <w:r/>
            <w:r>
              <w:rPr>
                <w:rFonts w:ascii="Courier New" w:hAnsi="Courier New"/>
                <w:sz w:val="19"/>
              </w:rPr>
              <w:t>296</w:t>
            </w:r>
          </w:p>
        </w:tc>
      </w:tr>
      <w:tr>
        <w:tc>
          <w:tcPr>
            <w:tcW w:type="dxa" w:w="1176"/>
          </w:tcPr>
          <w:p>
            <w:r/>
            <w:r>
              <w:rPr>
                <w:sz w:val="19"/>
              </w:rPr>
              <w:t>luo</w:t>
            </w:r>
          </w:p>
        </w:tc>
        <w:tc>
          <w:tcPr>
            <w:tcW w:type="dxa" w:w="1176"/>
          </w:tcPr>
          <w:p>
            <w:r/>
            <w:r>
              <w:rPr>
                <w:sz w:val="19"/>
              </w:rPr>
              <w:t>Dholuo (Luo)</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2347383</w:t>
            </w:r>
          </w:p>
        </w:tc>
        <w:tc>
          <w:tcPr>
            <w:tcW w:type="dxa" w:w="1176"/>
          </w:tcPr>
          <w:p>
            <w:pPr>
              <w:jc w:val="right"/>
            </w:pPr>
            <w:r/>
            <w:r>
              <w:rPr>
                <w:rFonts w:ascii="Courier New" w:hAnsi="Courier New"/>
                <w:sz w:val="19"/>
              </w:rPr>
              <w:t>417575</w:t>
            </w:r>
          </w:p>
        </w:tc>
        <w:tc>
          <w:tcPr>
            <w:tcW w:type="dxa" w:w="1176"/>
          </w:tcPr>
          <w:p>
            <w:pPr>
              <w:jc w:val="right"/>
            </w:pPr>
            <w:r/>
            <w:r>
              <w:rPr>
                <w:rFonts w:ascii="Courier New" w:hAnsi="Courier New"/>
                <w:sz w:val="19"/>
              </w:rPr>
              <w:t>1717</w:t>
            </w:r>
          </w:p>
        </w:tc>
        <w:tc>
          <w:tcPr>
            <w:tcW w:type="dxa" w:w="1176"/>
          </w:tcPr>
          <w:p>
            <w:pPr>
              <w:jc w:val="right"/>
            </w:pPr>
            <w:r/>
            <w:r>
              <w:rPr>
                <w:rFonts w:ascii="Courier New" w:hAnsi="Courier New"/>
                <w:sz w:val="19"/>
              </w:rPr>
              <w:t>99.9%</w:t>
            </w:r>
          </w:p>
        </w:tc>
        <w:tc>
          <w:tcPr>
            <w:tcW w:type="dxa" w:w="1176"/>
          </w:tcPr>
          <w:p>
            <w:pPr>
              <w:jc w:val="right"/>
            </w:pPr>
            <w:r/>
            <w:r>
              <w:rPr>
                <w:rFonts w:ascii="Courier New" w:hAnsi="Courier New"/>
                <w:sz w:val="19"/>
              </w:rPr>
              <w:t>298</w:t>
            </w:r>
          </w:p>
        </w:tc>
      </w:tr>
      <w:tr>
        <w:tc>
          <w:tcPr>
            <w:tcW w:type="dxa" w:w="1176"/>
          </w:tcPr>
          <w:p>
            <w:r/>
            <w:r>
              <w:rPr>
                <w:sz w:val="19"/>
              </w:rPr>
              <w:t>swa</w:t>
            </w:r>
          </w:p>
        </w:tc>
        <w:tc>
          <w:tcPr>
            <w:tcW w:type="dxa" w:w="1176"/>
          </w:tcPr>
          <w:p>
            <w:r/>
            <w:r>
              <w:rPr>
                <w:sz w:val="19"/>
              </w:rPr>
              <w:t>Kiswahili</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2599230</w:t>
            </w:r>
          </w:p>
        </w:tc>
        <w:tc>
          <w:tcPr>
            <w:tcW w:type="dxa" w:w="1176"/>
          </w:tcPr>
          <w:p>
            <w:pPr>
              <w:jc w:val="right"/>
            </w:pPr>
            <w:r/>
            <w:r>
              <w:rPr>
                <w:rFonts w:ascii="Courier New" w:hAnsi="Courier New"/>
                <w:sz w:val="19"/>
              </w:rPr>
              <w:t>411682</w:t>
            </w:r>
          </w:p>
        </w:tc>
        <w:tc>
          <w:tcPr>
            <w:tcW w:type="dxa" w:w="1176"/>
          </w:tcPr>
          <w:p>
            <w:pPr>
              <w:jc w:val="right"/>
            </w:pPr>
            <w:r/>
            <w:r>
              <w:rPr>
                <w:rFonts w:ascii="Courier New" w:hAnsi="Courier New"/>
                <w:sz w:val="19"/>
              </w:rPr>
              <w:t>1884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298</w:t>
            </w:r>
          </w:p>
        </w:tc>
      </w:tr>
      <w:tr>
        <w:tc>
          <w:tcPr>
            <w:tcW w:type="dxa" w:w="1176"/>
          </w:tcPr>
          <w:p>
            <w:r/>
            <w:r>
              <w:rPr>
                <w:sz w:val="19"/>
              </w:rPr>
              <w:t>kam</w:t>
            </w:r>
          </w:p>
        </w:tc>
        <w:tc>
          <w:tcPr>
            <w:tcW w:type="dxa" w:w="1176"/>
          </w:tcPr>
          <w:p>
            <w:r/>
            <w:r>
              <w:rPr>
                <w:sz w:val="19"/>
              </w:rPr>
              <w:t>Kikamba (Kamba)</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1058430</w:t>
            </w:r>
          </w:p>
        </w:tc>
        <w:tc>
          <w:tcPr>
            <w:tcW w:type="dxa" w:w="1176"/>
          </w:tcPr>
          <w:p>
            <w:pPr>
              <w:jc w:val="right"/>
            </w:pPr>
            <w:r/>
            <w:r>
              <w:rPr>
                <w:rFonts w:ascii="Courier New" w:hAnsi="Courier New"/>
                <w:sz w:val="19"/>
              </w:rPr>
              <w:t>173388</w:t>
            </w:r>
          </w:p>
        </w:tc>
        <w:tc>
          <w:tcPr>
            <w:tcW w:type="dxa" w:w="1176"/>
          </w:tcPr>
          <w:p>
            <w:pPr>
              <w:jc w:val="right"/>
            </w:pPr>
            <w:r/>
            <w:r>
              <w:rPr>
                <w:rFonts w:ascii="Courier New" w:hAnsi="Courier New"/>
                <w:sz w:val="19"/>
              </w:rPr>
              <w:t>851</w:t>
            </w:r>
          </w:p>
        </w:tc>
        <w:tc>
          <w:tcPr>
            <w:tcW w:type="dxa" w:w="1176"/>
          </w:tcPr>
          <w:p>
            <w:pPr>
              <w:jc w:val="right"/>
            </w:pPr>
            <w:r/>
            <w:r>
              <w:rPr>
                <w:rFonts w:ascii="Courier New" w:hAnsi="Courier New"/>
                <w:sz w:val="19"/>
              </w:rPr>
              <w:t>99.7%</w:t>
            </w:r>
          </w:p>
        </w:tc>
        <w:tc>
          <w:tcPr>
            <w:tcW w:type="dxa" w:w="1176"/>
          </w:tcPr>
          <w:p>
            <w:pPr>
              <w:jc w:val="right"/>
            </w:pPr>
            <w:r/>
            <w:r>
              <w:rPr>
                <w:rFonts w:ascii="Courier New" w:hAnsi="Courier New"/>
                <w:sz w:val="19"/>
              </w:rPr>
              <w:t>298</w:t>
            </w:r>
          </w:p>
        </w:tc>
      </w:tr>
      <w:tr>
        <w:tc>
          <w:tcPr>
            <w:tcW w:type="dxa" w:w="1176"/>
          </w:tcPr>
          <w:p>
            <w:r/>
            <w:r>
              <w:rPr>
                <w:sz w:val="19"/>
              </w:rPr>
              <w:t>kln</w:t>
            </w:r>
          </w:p>
        </w:tc>
        <w:tc>
          <w:tcPr>
            <w:tcW w:type="dxa" w:w="1176"/>
          </w:tcPr>
          <w:p>
            <w:r/>
            <w:r>
              <w:rPr>
                <w:sz w:val="19"/>
              </w:rPr>
              <w:t>Kalenjin</w:t>
            </w:r>
          </w:p>
        </w:tc>
        <w:tc>
          <w:tcPr>
            <w:tcW w:type="dxa" w:w="1176"/>
          </w:tcPr>
          <w:p>
            <w:pPr>
              <w:jc w:val="right"/>
            </w:pPr>
            <w:r/>
            <w:r>
              <w:rPr>
                <w:rFonts w:ascii="Courier New" w:hAnsi="Courier New"/>
                <w:sz w:val="19"/>
              </w:rPr>
              <w:t>295</w:t>
            </w:r>
          </w:p>
        </w:tc>
        <w:tc>
          <w:tcPr>
            <w:tcW w:type="dxa" w:w="1176"/>
          </w:tcPr>
          <w:p>
            <w:pPr>
              <w:jc w:val="right"/>
            </w:pPr>
            <w:r/>
            <w:r>
              <w:rPr>
                <w:rFonts w:ascii="Courier New" w:hAnsi="Courier New"/>
                <w:sz w:val="19"/>
              </w:rPr>
              <w:t>4674494</w:t>
            </w:r>
          </w:p>
        </w:tc>
        <w:tc>
          <w:tcPr>
            <w:tcW w:type="dxa" w:w="1176"/>
          </w:tcPr>
          <w:p>
            <w:pPr>
              <w:jc w:val="right"/>
            </w:pPr>
            <w:r/>
            <w:r>
              <w:rPr>
                <w:rFonts w:ascii="Courier New" w:hAnsi="Courier New"/>
                <w:sz w:val="19"/>
              </w:rPr>
              <w:t>747249</w:t>
            </w:r>
          </w:p>
        </w:tc>
        <w:tc>
          <w:tcPr>
            <w:tcW w:type="dxa" w:w="1176"/>
          </w:tcPr>
          <w:p>
            <w:pPr>
              <w:jc w:val="right"/>
            </w:pPr>
            <w:r/>
            <w:r>
              <w:rPr>
                <w:rFonts w:ascii="Courier New" w:hAnsi="Courier New"/>
                <w:sz w:val="19"/>
              </w:rPr>
              <w:t>3258</w:t>
            </w:r>
          </w:p>
        </w:tc>
        <w:tc>
          <w:tcPr>
            <w:tcW w:type="dxa" w:w="1176"/>
          </w:tcPr>
          <w:p>
            <w:pPr>
              <w:jc w:val="right"/>
            </w:pPr>
            <w:r/>
            <w:r>
              <w:rPr>
                <w:rFonts w:ascii="Courier New" w:hAnsi="Courier New"/>
                <w:sz w:val="19"/>
              </w:rPr>
              <w:t>99.0%</w:t>
            </w:r>
          </w:p>
        </w:tc>
        <w:tc>
          <w:tcPr>
            <w:tcW w:type="dxa" w:w="1176"/>
          </w:tcPr>
          <w:p>
            <w:pPr>
              <w:jc w:val="right"/>
            </w:pPr>
            <w:r/>
            <w:r>
              <w:rPr>
                <w:rFonts w:ascii="Courier New" w:hAnsi="Courier New"/>
                <w:sz w:val="19"/>
              </w:rPr>
              <w:t>290</w:t>
            </w:r>
          </w:p>
        </w:tc>
      </w:tr>
      <w:tr>
        <w:tc>
          <w:tcPr>
            <w:tcW w:type="dxa" w:w="1176"/>
          </w:tcPr>
          <w:p>
            <w:r/>
            <w:r>
              <w:rPr>
                <w:sz w:val="19"/>
              </w:rPr>
              <w:t>lwg</w:t>
            </w:r>
          </w:p>
        </w:tc>
        <w:tc>
          <w:tcPr>
            <w:tcW w:type="dxa" w:w="1176"/>
          </w:tcPr>
          <w:p>
            <w:r/>
            <w:r>
              <w:rPr>
                <w:sz w:val="19"/>
              </w:rPr>
              <w:t>Wanga (Luhya)</w:t>
            </w:r>
          </w:p>
        </w:tc>
        <w:tc>
          <w:tcPr>
            <w:tcW w:type="dxa" w:w="1176"/>
          </w:tcPr>
          <w:p>
            <w:pPr>
              <w:jc w:val="right"/>
            </w:pPr>
            <w:r/>
            <w:r>
              <w:rPr>
                <w:rFonts w:ascii="Courier New" w:hAnsi="Courier New"/>
                <w:sz w:val="19"/>
              </w:rPr>
              <w:t>60</w:t>
            </w:r>
          </w:p>
        </w:tc>
        <w:tc>
          <w:tcPr>
            <w:tcW w:type="dxa" w:w="1176"/>
          </w:tcPr>
          <w:p>
            <w:pPr>
              <w:jc w:val="right"/>
            </w:pPr>
            <w:r/>
            <w:r>
              <w:rPr>
                <w:rFonts w:ascii="Courier New" w:hAnsi="Courier New"/>
                <w:sz w:val="19"/>
              </w:rPr>
              <w:t>491139</w:t>
            </w:r>
          </w:p>
        </w:tc>
        <w:tc>
          <w:tcPr>
            <w:tcW w:type="dxa" w:w="1176"/>
          </w:tcPr>
          <w:p>
            <w:pPr>
              <w:jc w:val="right"/>
            </w:pPr>
            <w:r/>
            <w:r>
              <w:rPr>
                <w:rFonts w:ascii="Courier New" w:hAnsi="Courier New"/>
                <w:sz w:val="19"/>
              </w:rPr>
              <w:t>73194</w:t>
            </w:r>
          </w:p>
        </w:tc>
        <w:tc>
          <w:tcPr>
            <w:tcW w:type="dxa" w:w="1176"/>
          </w:tcPr>
          <w:p>
            <w:pPr>
              <w:jc w:val="right"/>
            </w:pPr>
            <w:r/>
            <w:r>
              <w:rPr>
                <w:rFonts w:ascii="Courier New" w:hAnsi="Courier New"/>
                <w:sz w:val="19"/>
              </w:rPr>
              <w:t>356</w:t>
            </w:r>
          </w:p>
        </w:tc>
        <w:tc>
          <w:tcPr>
            <w:tcW w:type="dxa" w:w="1176"/>
          </w:tcPr>
          <w:p>
            <w:pPr>
              <w:jc w:val="right"/>
            </w:pPr>
            <w:r/>
            <w:r>
              <w:rPr>
                <w:rFonts w:ascii="Courier New" w:hAnsi="Courier New"/>
                <w:sz w:val="19"/>
              </w:rPr>
              <w:t>98.3%</w:t>
            </w:r>
          </w:p>
        </w:tc>
        <w:tc>
          <w:tcPr>
            <w:tcW w:type="dxa" w:w="1176"/>
          </w:tcPr>
          <w:p>
            <w:pPr>
              <w:jc w:val="right"/>
            </w:pPr>
            <w:r/>
            <w:r>
              <w:rPr>
                <w:rFonts w:ascii="Courier New" w:hAnsi="Courier New"/>
                <w:sz w:val="19"/>
              </w:rPr>
              <w:t>59</w:t>
            </w:r>
          </w:p>
        </w:tc>
      </w:tr>
    </w:tbl>
    <w:p>
      <w:pPr>
        <w:spacing w:after="200"/>
      </w:pPr>
      <w:r>
        <w:rPr>
          <w:i/>
          <w:color w:val="70879A"/>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70879A"/>
          <w:sz w:val="17"/>
        </w:rPr>
        <w:t>[measured]  Receipt R07: Served text language model m9j-74af7cef0a85 readings of the staged transcripts: jobs m9j-2d43ed6cf567, m9j-8cf6702f8718 (2,245 transcripts read, 3939 present)</w:t>
      </w:r>
    </w:p>
    <w:p>
      <w:pPr>
        <w:spacing w:after="200"/>
      </w:pPr>
      <w:r>
        <w:rPr>
          <w:i w:val="0"/>
          <w:color w:val="70879A"/>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8EEF3"/>
          </w:tcPr>
          <w:p>
            <w:r/>
            <w:r>
              <w:rPr>
                <w:b/>
                <w:sz w:val="19"/>
              </w:rPr>
              <w:t>Language</w:t>
            </w:r>
          </w:p>
        </w:tc>
        <w:tc>
          <w:tcPr>
            <w:tcW w:type="dxa" w:w="856"/>
            <w:shd w:val="clear" w:color="auto" w:fill="E8EEF3"/>
          </w:tcPr>
          <w:p>
            <w:r/>
            <w:r>
              <w:rPr>
                <w:b/>
                <w:sz w:val="19"/>
              </w:rPr>
              <w:t>Code</w:t>
            </w:r>
          </w:p>
        </w:tc>
        <w:tc>
          <w:tcPr>
            <w:tcW w:type="dxa" w:w="856"/>
            <w:shd w:val="clear" w:color="auto" w:fill="E8EEF3"/>
          </w:tcPr>
          <w:p>
            <w:r/>
            <w:r>
              <w:rPr>
                <w:b/>
                <w:sz w:val="19"/>
              </w:rPr>
              <w:t>Station</w:t>
            </w:r>
          </w:p>
        </w:tc>
        <w:tc>
          <w:tcPr>
            <w:tcW w:type="dxa" w:w="856"/>
            <w:shd w:val="clear" w:color="auto" w:fill="E8EEF3"/>
          </w:tcPr>
          <w:p>
            <w:r/>
            <w:r>
              <w:rPr>
                <w:b/>
                <w:sz w:val="19"/>
              </w:rPr>
              <w:t>Recordings</w:t>
            </w:r>
          </w:p>
        </w:tc>
        <w:tc>
          <w:tcPr>
            <w:tcW w:type="dxa" w:w="856"/>
            <w:shd w:val="clear" w:color="auto" w:fill="E8EEF3"/>
          </w:tcPr>
          <w:p>
            <w:r/>
            <w:r>
              <w:rPr>
                <w:b/>
                <w:sz w:val="19"/>
              </w:rPr>
              <w:t>Audio hours</w:t>
            </w:r>
          </w:p>
        </w:tc>
        <w:tc>
          <w:tcPr>
            <w:tcW w:type="dxa" w:w="856"/>
            <w:shd w:val="clear" w:color="auto" w:fill="E8EEF3"/>
          </w:tcPr>
          <w:p>
            <w:r/>
            <w:r>
              <w:rPr>
                <w:b/>
                <w:sz w:val="19"/>
              </w:rPr>
              <w:t>Sent to transcription</w:t>
            </w:r>
          </w:p>
        </w:tc>
        <w:tc>
          <w:tcPr>
            <w:tcW w:type="dxa" w:w="856"/>
            <w:shd w:val="clear" w:color="auto" w:fill="E8EEF3"/>
          </w:tcPr>
          <w:p>
            <w:r/>
            <w:r>
              <w:rPr>
                <w:b/>
                <w:sz w:val="19"/>
              </w:rPr>
              <w:t>With text file</w:t>
            </w:r>
          </w:p>
        </w:tc>
        <w:tc>
          <w:tcPr>
            <w:tcW w:type="dxa" w:w="856"/>
            <w:shd w:val="clear" w:color="auto" w:fill="E8EEF3"/>
          </w:tcPr>
          <w:p>
            <w:r/>
            <w:r>
              <w:rPr>
                <w:b/>
                <w:sz w:val="19"/>
              </w:rPr>
              <w:t>Transcript segments</w:t>
            </w:r>
          </w:p>
        </w:tc>
        <w:tc>
          <w:tcPr>
            <w:tcW w:type="dxa" w:w="856"/>
            <w:shd w:val="clear" w:color="auto" w:fill="E8EEF3"/>
          </w:tcPr>
          <w:p>
            <w:r/>
            <w:r>
              <w:rPr>
                <w:b/>
                <w:sz w:val="19"/>
              </w:rPr>
              <w:t>Transcript characters</w:t>
            </w:r>
          </w:p>
        </w:tc>
        <w:tc>
          <w:tcPr>
            <w:tcW w:type="dxa" w:w="856"/>
            <w:shd w:val="clear" w:color="auto" w:fill="E8EEF3"/>
          </w:tcPr>
          <w:p>
            <w:r/>
            <w:r>
              <w:rPr>
                <w:b/>
                <w:sz w:val="19"/>
              </w:rPr>
              <w:t>Transcribed hours</w:t>
            </w:r>
          </w:p>
        </w:tc>
        <w:tc>
          <w:tcPr>
            <w:tcW w:type="dxa" w:w="856"/>
            <w:shd w:val="clear" w:color="auto" w:fill="E8EEF3"/>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70879A"/>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70879A"/>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Which products to prepare first</w:t>
      </w:r>
    </w:p>
    <w:p>
      <w:r>
        <w:t>The census scores 8 product candidates on dimensional readiness only, which establishes neither market demand nor revenue. This pack proposes reference and master-data licensing and the content catalogue and recommendation corpus as the first two, each needing canonical keys, completeness checks and de-identification or aggregation.</w:t>
      </w:r>
    </w:p>
    <w:p>
      <w:r>
        <w:t>Aggregated channel and telco engagement analytics is the alternative if a buyer leads. The order is a planning judgement and needs a buyer-side review of each candidate against its intended use. Rights are settled and are not a gate.</w:t>
      </w:r>
    </w:p>
    <w:p>
      <w:pPr>
        <w:pStyle w:val="Heading1"/>
      </w:pPr>
      <w:r>
        <w:t>The decisions requested</w:t>
      </w:r>
    </w:p>
    <w:p>
      <w:r>
        <w:t>The executive is asked to approve verification and preparation work, each with a named source, rule and responsible role in the decisions table. The storage decisions rest on 41.9 TiB of cold object data, 7.7 TiB of duplicate candidates and 40 unreadable buckets.</w:t>
      </w:r>
    </w:p>
    <w:p>
      <w:r>
        <w:t>The benefit is bounded at 1,174.4 USD a month at list prices; it is not current spend. The audio opportunity of 529.5 recorded hours needs filtering and language checks first. Nothing has yet been moved, deleted or released.</w:t>
      </w:r>
    </w:p>
    <w:p>
      <w:pPr>
        <w:spacing w:after="200"/>
      </w:pPr>
      <w:r>
        <w:rPr>
          <w:i w:val="0"/>
          <w:color w:val="70879A"/>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8EEF3"/>
          </w:tcPr>
          <w:p>
            <w:r/>
            <w:r>
              <w:rPr>
                <w:b/>
                <w:sz w:val="19"/>
              </w:rPr>
              <w:t>No.</w:t>
            </w:r>
          </w:p>
        </w:tc>
        <w:tc>
          <w:tcPr>
            <w:tcW w:type="dxa" w:w="1046"/>
            <w:shd w:val="clear" w:color="auto" w:fill="E8EEF3"/>
          </w:tcPr>
          <w:p>
            <w:r/>
            <w:r>
              <w:rPr>
                <w:b/>
                <w:sz w:val="19"/>
              </w:rPr>
              <w:t>Decision requested</w:t>
            </w:r>
          </w:p>
        </w:tc>
        <w:tc>
          <w:tcPr>
            <w:tcW w:type="dxa" w:w="1046"/>
            <w:shd w:val="clear" w:color="auto" w:fill="E8EEF3"/>
          </w:tcPr>
          <w:p>
            <w:r/>
            <w:r>
              <w:rPr>
                <w:b/>
                <w:sz w:val="19"/>
              </w:rPr>
              <w:t>Exact source</w:t>
            </w:r>
          </w:p>
        </w:tc>
        <w:tc>
          <w:tcPr>
            <w:tcW w:type="dxa" w:w="1046"/>
            <w:shd w:val="clear" w:color="auto" w:fill="E8EEF3"/>
          </w:tcPr>
          <w:p>
            <w:r/>
            <w:r>
              <w:rPr>
                <w:b/>
                <w:sz w:val="19"/>
              </w:rPr>
              <w:t>Action</w:t>
            </w:r>
          </w:p>
        </w:tc>
        <w:tc>
          <w:tcPr>
            <w:tcW w:type="dxa" w:w="1046"/>
            <w:shd w:val="clear" w:color="auto" w:fill="E8EEF3"/>
          </w:tcPr>
          <w:p>
            <w:r/>
            <w:r>
              <w:rPr>
                <w:b/>
                <w:sz w:val="19"/>
              </w:rPr>
              <w:t>Proposed destination or rule</w:t>
            </w:r>
          </w:p>
        </w:tc>
        <w:tc>
          <w:tcPr>
            <w:tcW w:type="dxa" w:w="1046"/>
            <w:shd w:val="clear" w:color="auto" w:fill="E8EEF3"/>
          </w:tcPr>
          <w:p>
            <w:r/>
            <w:r>
              <w:rPr>
                <w:b/>
                <w:sz w:val="19"/>
              </w:rPr>
              <w:t>Responsible role</w:t>
            </w:r>
          </w:p>
        </w:tc>
        <w:tc>
          <w:tcPr>
            <w:tcW w:type="dxa" w:w="1046"/>
            <w:shd w:val="clear" w:color="auto" w:fill="E8EEF3"/>
          </w:tcPr>
          <w:p>
            <w:r/>
            <w:r>
              <w:rPr>
                <w:b/>
                <w:sz w:val="19"/>
              </w:rPr>
              <w:t>Expected benefit</w:t>
            </w:r>
          </w:p>
        </w:tc>
        <w:tc>
          <w:tcPr>
            <w:tcW w:type="dxa" w:w="1046"/>
            <w:shd w:val="clear" w:color="auto" w:fill="E8EEF3"/>
          </w:tcPr>
          <w:p>
            <w:r/>
            <w:r>
              <w:rPr>
                <w:b/>
                <w:sz w:val="19"/>
              </w:rPr>
              <w:t>Evidence</w:t>
            </w:r>
          </w:p>
        </w:tc>
        <w:tc>
          <w:tcPr>
            <w:tcW w:type="dxa" w:w="1046"/>
            <w:shd w:val="clear" w:color="auto" w:fill="E8EEF3"/>
          </w:tcPr>
          <w:p>
            <w:r/>
            <w:r>
              <w:rPr>
                <w:b/>
                <w:sz w:val="19"/>
              </w:rPr>
              <w:t>Still to verify</w:t>
            </w:r>
          </w:p>
        </w:tc>
      </w:tr>
      <w:tr>
        <w:tc>
          <w:tcPr>
            <w:tcW w:type="dxa" w:w="1046"/>
          </w:tcPr>
          <w:p>
            <w:r/>
            <w:r>
              <w:rPr>
                <w:sz w:val="19"/>
              </w:rPr>
              <w:t>D1</w:t>
            </w:r>
          </w:p>
        </w:tc>
        <w:tc>
          <w:tcPr>
            <w:tcW w:type="dxa" w:w="1046"/>
          </w:tcPr>
          <w:p>
            <w:r/>
            <w:r>
              <w:rPr>
                <w:sz w:val="19"/>
              </w:rPr>
              <w:t>Approve archive tiering of the cold object-store buckets</w:t>
            </w:r>
          </w:p>
        </w:tc>
        <w:tc>
          <w:tcPr>
            <w:tcW w:type="dxa" w:w="1046"/>
          </w:tcPr>
          <w:p>
            <w:r/>
            <w:r>
              <w:rPr>
                <w:sz w:val="19"/>
              </w:rPr>
              <w:t>43 buckets, e.g. music-bucket-rms, na7p43do, na7p43js, na7p434j, na7p41hj</w:t>
            </w:r>
          </w:p>
        </w:tc>
        <w:tc>
          <w:tcPr>
            <w:tcW w:type="dxa" w:w="1046"/>
          </w:tcPr>
          <w:p>
            <w:r/>
            <w:r>
              <w:rPr>
                <w:sz w:val="19"/>
              </w:rPr>
              <w:t>apply a lifecycle rule Standard → Archive; keep listing metadata hot</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up to 986 USD a month at list price</w:t>
            </w:r>
          </w:p>
        </w:tc>
        <w:tc>
          <w:tcPr>
            <w:tcW w:type="dxa" w:w="1046"/>
          </w:tcPr>
          <w:p>
            <w:r/>
            <w:r>
              <w:rPr>
                <w:sz w:val="19"/>
              </w:rPr>
              <w:t>R04 · T010</w:t>
            </w:r>
          </w:p>
        </w:tc>
        <w:tc>
          <w:tcPr>
            <w:tcW w:type="dxa" w:w="1046"/>
          </w:tcPr>
          <w:p>
            <w:r/>
            <w:r>
              <w:rPr>
                <w:sz w:val="19"/>
              </w:rPr>
              <w:t>read-frequency logs for ninety days before the rule applies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(1,139,768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43.6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bl>
    <w:p>
      <w:pPr>
        <w:spacing w:after="200"/>
      </w:pPr>
      <w:r>
        <w:rPr>
          <w:i/>
          <w:color w:val="70879A"/>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remains unmeasured</w:t>
      </w:r>
    </w:p>
    <w:p>
      <w:r>
        <w:t>Database measures cover 638 of 1006 tables, 40 buckets are unreachable, and file-share duplication is unmeasured across 1.5m files. 1694 transcripts were unread, script language was not read, and workbench overlap with the staged corpus is unjoined. One database connection awaits a read grant.</w:t>
      </w:r>
    </w:p>
    <w:p>
      <w:r>
        <w:t>Each gap has a stated closing step: a complete-pass census, provider reconciliation, a fingerprinting pass, a text-model pass over scripts, a hash join and a read grant followed by a re-census. The table of model roles discloses authorship only.</w:t>
      </w:r>
    </w:p>
    <w:p>
      <w:pPr>
        <w:spacing w:after="200"/>
      </w:pPr>
      <w:r>
        <w:rPr>
          <w:i w:val="0"/>
          <w:color w:val="70879A"/>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8EEF3"/>
          </w:tcPr>
          <w:p>
            <w:r/>
            <w:r>
              <w:rPr>
                <w:b/>
                <w:sz w:val="19"/>
              </w:rPr>
              <w:t>Role</w:t>
            </w:r>
          </w:p>
        </w:tc>
        <w:tc>
          <w:tcPr>
            <w:tcW w:type="dxa" w:w="1882"/>
            <w:shd w:val="clear" w:color="auto" w:fill="E8EEF3"/>
          </w:tcPr>
          <w:p>
            <w:r/>
            <w:r>
              <w:rPr>
                <w:b/>
                <w:sz w:val="19"/>
              </w:rPr>
              <w:t>Model</w:t>
            </w:r>
          </w:p>
        </w:tc>
        <w:tc>
          <w:tcPr>
            <w:tcW w:type="dxa" w:w="1882"/>
            <w:shd w:val="clear" w:color="auto" w:fill="E8EEF3"/>
          </w:tcPr>
          <w:p>
            <w:r/>
            <w:r>
              <w:rPr>
                <w:b/>
                <w:sz w:val="19"/>
              </w:rPr>
              <w:t>Family</w:t>
            </w:r>
          </w:p>
        </w:tc>
        <w:tc>
          <w:tcPr>
            <w:tcW w:type="dxa" w:w="1882"/>
            <w:shd w:val="clear" w:color="auto" w:fill="E8EEF3"/>
          </w:tcPr>
          <w:p>
            <w:r/>
            <w:r>
              <w:rPr>
                <w:b/>
                <w:sz w:val="19"/>
              </w:rPr>
              <w:t>Job</w:t>
            </w:r>
          </w:p>
        </w:tc>
        <w:tc>
          <w:tcPr>
            <w:tcW w:type="dxa" w:w="1882"/>
            <w:shd w:val="clear" w:color="auto" w:fill="E8EEF3"/>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70879A"/>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70879A"/>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in order</w:t>
      </w:r>
    </w:p>
    <w:p>
      <w:r>
        <w:t>Start with the cold buckets: confirm read use and retrieval fees on the 43 buckets before tiering, since the upper bound is 986.5 USD a month. Hash the 7.7 TiB of duplicate candidates before removing any copy. Then reconcile the 40 unreadable buckets and fingerprint the file shares.</w:t>
      </w:r>
    </w:p>
    <w:p>
      <w:r>
        <w:t>In parallel, prepare reference data and the content catalogue. Keep database cleanup bounded by 15.2 GiB, 4.3% of bytes. Measure outcomes against the 1,174.4 USD bound. Responsibilities are proposed, not authorised execution.</w:t>
      </w:r>
    </w:p>
    <w:p>
      <w:pPr>
        <w:pStyle w:val="Heading1"/>
      </w:pPr>
      <w:r>
        <w:t>Limits on what we can conclude</w:t>
      </w:r>
    </w:p>
    <w:p>
      <w:r>
        <w:t>Database coverage is 638 of 1006 tables, personal-data markers come from a sample, and duplicates are candidates until hashed. The 1,174.4 USD figure is a list-price upper bound, and cold bytes may still be read.</w:t>
      </w:r>
    </w:p>
    <w:p>
      <w:r>
        <w:t>Each limit closes with a specific check: a complete-pass census, product-specific privacy preparation, content hashing, an invoice comparison and retrieval-cost validation, and human review of language and audio usability. None of these limits reopens rights.</w:t>
      </w:r>
    </w:p>
    <w:p>
      <w:pPr>
        <w:pStyle w:val="Heading1"/>
      </w:pPr>
      <w:r>
        <w:t>Coverage and limits</w:t>
      </w:r>
    </w:p>
    <w:p>
      <w:r>
        <w:t>Covers: The admitted estate as measured by census eij-1b359b3cbd2e: 20 databases, 1,006 tables (351.3 GiB), the object store, the file shares, the staged language corpus read by both GPUs and the written-word databases read as aggregates.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(22,975,591 objects, 130.3 TiB)</w:t>
            </w:r>
          </w:p>
        </w:tc>
      </w:tr>
      <w:tr>
        <w:tc>
          <w:tcPr>
            <w:tcW w:type="dxa" w:w="4706"/>
          </w:tcPr>
          <w:p>
            <w:r/>
            <w:r>
              <w:rPr>
                <w:sz w:val="19"/>
              </w:rPr>
              <w:t>R05</w:t>
            </w:r>
          </w:p>
        </w:tc>
        <w:tc>
          <w:tcPr>
            <w:tcW w:type="dxa" w:w="4706"/>
          </w:tcPr>
          <w:p>
            <w:r/>
            <w:r>
              <w:rPr>
                <w:sz w:val="19"/>
              </w:rPr>
              <w:t>NAS share enumeration census run cr-cf4eef79995b (1,456,787 files, 43.6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EI-eij-1b359b3cbd2e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Estate-wide intelligence: cut, fix and prepare first</dc:title>
  <dc:subject/>
  <dc:creator>doc-studio</dc:creator>
  <cp:keywords/>
  <dc:description>generated by python-docx</dc:description>
  <cp:lastModifiedBy>doc-studio</cp:lastModifiedBy>
  <cp:revision>1</cp:revision>
  <dcterms:created xsi:type="dcterms:W3CDTF">2026-10-02T07:26:31Z</dcterms:created>
  <dcterms:modified xsi:type="dcterms:W3CDTF">2026-10-02T07:26:31Z</dcterms:modified>
  <cp:category/>
</cp:coreProperties>
</file>