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AKKI PLATFORM  ·  CHANGE REGISTER</w:t>
      </w:r>
    </w:p>
    <w:p>
      <w:pPr>
        <w:spacing w:after="50"/>
      </w:pPr>
      <w:r>
        <w:rPr>
          <w:rFonts w:ascii="Cambria" w:cs="Cambria" w:eastAsia="Cambria" w:hAnsi="Cambria"/>
          <w:b/>
          <w:bCs/>
          <w:color w:val="12294E"/>
          <w:sz w:val="34"/>
          <w:szCs w:val="34"/>
        </w:rPr>
        <w:t xml:space="preserve">Amendments — Security Assurance Promise Set</w:t>
      </w:r>
    </w:p>
    <w:p>
      <w:pPr>
        <w:pBdr>
          <w:bottom w:val="single" w:color="12294E" w:sz="10" w:space="6"/>
        </w:pBdr>
        <w:spacing w:after="170"/>
      </w:pPr>
      <w:r>
        <w:rPr>
          <w:rFonts w:ascii="Calibri" w:cs="Calibri" w:eastAsia="Calibri" w:hAnsi="Calibri"/>
          <w:color w:val="55606E"/>
          <w:sz w:val="22"/>
          <w:szCs w:val="22"/>
        </w:rPr>
        <w:t xml:space="preserve">8 amendments · 3 September 2026</w:t>
      </w:r>
    </w:p>
    <w:tbl>
      <w:tblPr>
        <w:tblW w:type="dxa" w:w="93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300"/>
        <w:gridCol w:w="7060"/>
      </w:tblGrid>
      <w:tr>
        <w:tc>
          <w:tcPr>
            <w:tcW w:type="dxa" w:w="2300"/>
            <w:shd w:fill="12294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706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Security_Assurance_Promise_Set.xlsx (S-1–S-21) and akki_governance_architecture_v1 (Document 0)</w:t>
            </w:r>
          </w:p>
        </w:tc>
      </w:tr>
      <w:tr>
        <w:tc>
          <w:tcPr>
            <w:tcW w:type="dxa" w:w="2300"/>
            <w:shd w:fill="12294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Nature</w:t>
            </w:r>
          </w:p>
        </w:tc>
        <w:tc>
          <w:tcPr>
            <w:tcW w:type="dxa" w:w="70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Corrections to claims made while drafting the promise set, and cross-document updates the set's evidence requires. Not a gap report — each amendment states the fix directly.</w:t>
            </w:r>
          </w:p>
        </w:tc>
      </w:tr>
    </w:tbl>
    <w:p>
      <w:pPr>
        <w:pBdr>
          <w:bottom w:val="single" w:color="D7DEE8" w:sz="6" w:space="6"/>
        </w:pBdr>
        <w:spacing w:after="100" w:before="280"/>
      </w:pPr>
      <w:r>
        <w:rPr>
          <w:rFonts w:ascii="Cambria" w:cs="Cambria" w:eastAsia="Cambria" w:hAnsi="Cambria"/>
          <w:b/>
          <w:bCs/>
          <w:color w:val="1E56A0"/>
          <w:sz w:val="22"/>
          <w:szCs w:val="22"/>
        </w:rPr>
        <w:t xml:space="preserve">Amendment 1   </w:t>
      </w:r>
      <w:r>
        <w:rPr>
          <w:rFonts w:ascii="Cambria" w:cs="Cambria" w:eastAsia="Cambria" w:hAnsi="Cambria"/>
          <w:b/>
          <w:bCs/>
          <w:color w:val="12294E"/>
          <w:sz w:val="22"/>
          <w:szCs w:val="22"/>
        </w:rPr>
        <w:t xml:space="preserve">S-7 Marked as a Specification Gap, Not a Promise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TARGET  </w:t>
      </w:r>
      <w:r>
        <w:rPr>
          <w:rFonts w:ascii="Calibri" w:cs="Calibri" w:eastAsia="Calibri" w:hAnsi="Calibri"/>
          <w:sz w:val="19"/>
          <w:szCs w:val="19"/>
        </w:rPr>
        <w:t xml:space="preserve">S-7 (“Learn”), Security Assurance Promise Set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CURRENT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“Update the behavioural signature from every contained incident — above the floor, never at it.” Stated as a Present promise.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AMENDED  </w:t>
      </w:r>
      <w:r>
        <w:rPr>
          <w:rFonts w:ascii="Calibri" w:cs="Calibri" w:eastAsia="Calibri" w:hAnsi="Calibri"/>
          <w:sz w:val="19"/>
          <w:szCs w:val="19"/>
        </w:rPr>
        <w:t xml:space="preserve">Status changed to Absent → gap. Promise text replaced with an explicit statement that no learning mechanism is specified: Doc 3's plain-language promise (A1) states the platform “learns from every attack it defeats,” but every A5 clause touching learning — A5.7, A5.8, A5.12 — constrains what may not happen. None specifies what does update, on what evidence, or at what layer.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PRINCIPLE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 promise cannot be asserted from the absence of a prohibition. Three clauses constrain learning and none specifies it; silence is a gap, not licence to infer a mechanism.</w:t>
      </w:r>
    </w:p>
    <w:p>
      <w:pPr>
        <w:pBdr>
          <w:bottom w:val="single" w:color="D7DEE8" w:sz="6" w:space="6"/>
        </w:pBdr>
        <w:spacing w:after="100" w:before="280"/>
      </w:pPr>
      <w:r>
        <w:rPr>
          <w:rFonts w:ascii="Cambria" w:cs="Cambria" w:eastAsia="Cambria" w:hAnsi="Cambria"/>
          <w:b/>
          <w:bCs/>
          <w:color w:val="1E56A0"/>
          <w:sz w:val="22"/>
          <w:szCs w:val="22"/>
        </w:rPr>
        <w:t xml:space="preserve">Amendment 2   </w:t>
      </w:r>
      <w:r>
        <w:rPr>
          <w:rFonts w:ascii="Cambria" w:cs="Cambria" w:eastAsia="Cambria" w:hAnsi="Cambria"/>
          <w:b/>
          <w:bCs/>
          <w:color w:val="12294E"/>
          <w:sz w:val="22"/>
          <w:szCs w:val="22"/>
        </w:rPr>
        <w:t xml:space="preserve">Recovery and Notification Given a Document Home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TARGET  </w:t>
      </w:r>
      <w:r>
        <w:rPr>
          <w:rFonts w:ascii="Calibri" w:cs="Calibri" w:eastAsia="Calibri" w:hAnsi="Calibri"/>
          <w:sz w:val="19"/>
          <w:szCs w:val="19"/>
        </w:rPr>
        <w:t xml:space="preserve">S-10, S-11, Security Assurance Promise Set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CURRENT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Both cited only as Wave E rulings (CA1-N5, CA1-N2) with no document text — enforceable in isolation, invisible to a reader of Document 3.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AMENDED  </w:t>
      </w:r>
      <w:r>
        <w:rPr>
          <w:rFonts w:ascii="Calibri" w:cs="Calibri" w:eastAsia="Calibri" w:hAnsi="Calibri"/>
          <w:sz w:val="19"/>
          <w:szCs w:val="19"/>
        </w:rPr>
        <w:t xml:space="preserve">Proposed as a new Part D of Document 3 (“Recovery &amp; Notification”), housing S-10 and S-11 as formally specified promises. Origination class RATIFIED-EXTERNAL under rule_criteria_spec_v1 §3, citing the Wave E ruling numbers as source.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PRINCIPLE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 ruled value without a document home is real but unreadable — anyone reading Document 3 promise by promise would never learn recovery and notification exist as system behaviour.</w:t>
      </w:r>
    </w:p>
    <w:p>
      <w:pPr>
        <w:pBdr>
          <w:bottom w:val="single" w:color="D7DEE8" w:sz="6" w:space="6"/>
        </w:pBdr>
        <w:spacing w:after="100" w:before="280"/>
      </w:pPr>
      <w:r>
        <w:rPr>
          <w:rFonts w:ascii="Cambria" w:cs="Cambria" w:eastAsia="Cambria" w:hAnsi="Cambria"/>
          <w:b/>
          <w:bCs/>
          <w:color w:val="1E56A0"/>
          <w:sz w:val="22"/>
          <w:szCs w:val="22"/>
        </w:rPr>
        <w:t xml:space="preserve">Amendment 3   </w:t>
      </w:r>
      <w:r>
        <w:rPr>
          <w:rFonts w:ascii="Cambria" w:cs="Cambria" w:eastAsia="Cambria" w:hAnsi="Cambria"/>
          <w:b/>
          <w:bCs/>
          <w:color w:val="12294E"/>
          <w:sz w:val="22"/>
          <w:szCs w:val="22"/>
        </w:rPr>
        <w:t xml:space="preserve">“Never Run in Shadow” Relocated Out of the Assurance Set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TARGET  </w:t>
      </w:r>
      <w:r>
        <w:rPr>
          <w:rFonts w:ascii="Calibri" w:cs="Calibri" w:eastAsia="Calibri" w:hAnsi="Calibri"/>
          <w:sz w:val="19"/>
          <w:szCs w:val="19"/>
        </w:rPr>
        <w:t xml:space="preserve">A5.4, previously drafted as a candidate S-item in the promise set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CURRENT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Included in an earlier draft of the set as a runtime assurance promise.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AMENDED  </w:t>
      </w:r>
      <w:r>
        <w:rPr>
          <w:rFonts w:ascii="Calibri" w:cs="Calibri" w:eastAsia="Calibri" w:hAnsi="Calibri"/>
          <w:sz w:val="19"/>
          <w:szCs w:val="19"/>
        </w:rPr>
        <w:t xml:space="preserve">Removed from the security assurance set entirely. Relocated to akki_governance_architecture_v1, Attribute 9 (Authority &amp; Change Control), as a build requirement on how the Watch is deployed and changed.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PRINCIPLE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The assurance set states what the running system does. A5.4 states a condition on deployment itself — a different register. Conflating the two weakens both: a deployment condition dilutes a runtime guarantee, and vice versa.</w:t>
      </w:r>
    </w:p>
    <w:p>
      <w:pPr>
        <w:pBdr>
          <w:bottom w:val="single" w:color="D7DEE8" w:sz="6" w:space="6"/>
        </w:pBdr>
        <w:spacing w:after="100" w:before="280"/>
      </w:pPr>
      <w:r>
        <w:rPr>
          <w:rFonts w:ascii="Cambria" w:cs="Cambria" w:eastAsia="Cambria" w:hAnsi="Cambria"/>
          <w:b/>
          <w:bCs/>
          <w:color w:val="1E56A0"/>
          <w:sz w:val="22"/>
          <w:szCs w:val="22"/>
        </w:rPr>
        <w:t xml:space="preserve">Amendment 4   </w:t>
      </w:r>
      <w:r>
        <w:rPr>
          <w:rFonts w:ascii="Cambria" w:cs="Cambria" w:eastAsia="Cambria" w:hAnsi="Cambria"/>
          <w:b/>
          <w:bCs/>
          <w:color w:val="12294E"/>
          <w:sz w:val="22"/>
          <w:szCs w:val="22"/>
        </w:rPr>
        <w:t xml:space="preserve">Six Unruled Bounds Carried Explicitly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TARGET  </w:t>
      </w:r>
      <w:r>
        <w:rPr>
          <w:rFonts w:ascii="Calibri" w:cs="Calibri" w:eastAsia="Calibri" w:hAnsi="Calibri"/>
          <w:sz w:val="19"/>
          <w:szCs w:val="19"/>
        </w:rPr>
        <w:t xml:space="preserve">S-2, S-4, S-5, S-19, Security Assurance Promise Set — Bound / Ruling column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CURRENT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Mechanisms described qualitatively in A5 text (“a time-to-live,” “its ruled share,” “a hard ceiling,” “unattested beyond its bound”) with no numeric value confirmed in Document 3's own five-value ruling list.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AMENDED  </w:t>
      </w:r>
      <w:r>
        <w:rPr>
          <w:rFonts w:ascii="Calibri" w:cs="Calibri" w:eastAsia="Calibri" w:hAnsi="Calibri"/>
          <w:sz w:val="19"/>
          <w:szCs w:val="19"/>
        </w:rPr>
        <w:t xml:space="preserve">Each bound marked Unruled in its own row rather than implied resolved by the existence of a mechanism: detection latency per attack shape (S-2); blast-budget share and friction ceiling (S-4); action time-to-live (S-5); attestation-continuity interval and break-in test cadence (S-19).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PRINCIPLE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 named bound with a described mechanism is not the same as a ruled value. Document 3's five-value ruling list should not be read as exhaustive of every bound the document names.</w:t>
      </w:r>
    </w:p>
    <w:p>
      <w:pPr>
        <w:pBdr>
          <w:bottom w:val="single" w:color="D7DEE8" w:sz="6" w:space="6"/>
        </w:pBdr>
        <w:spacing w:after="100" w:before="280"/>
      </w:pPr>
      <w:r>
        <w:rPr>
          <w:rFonts w:ascii="Cambria" w:cs="Cambria" w:eastAsia="Cambria" w:hAnsi="Cambria"/>
          <w:b/>
          <w:bCs/>
          <w:color w:val="1E56A0"/>
          <w:sz w:val="22"/>
          <w:szCs w:val="22"/>
        </w:rPr>
        <w:t xml:space="preserve">Amendment 5   </w:t>
      </w:r>
      <w:r>
        <w:rPr>
          <w:rFonts w:ascii="Cambria" w:cs="Cambria" w:eastAsia="Cambria" w:hAnsi="Cambria"/>
          <w:b/>
          <w:bCs/>
          <w:color w:val="12294E"/>
          <w:sz w:val="22"/>
          <w:szCs w:val="22"/>
        </w:rPr>
        <w:t xml:space="preserve">“No Standard” Claim Narrowed to What's True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TARGET  </w:t>
      </w:r>
      <w:r>
        <w:rPr>
          <w:rFonts w:ascii="Calibri" w:cs="Calibri" w:eastAsia="Calibri" w:hAnsi="Calibri"/>
          <w:sz w:val="19"/>
          <w:szCs w:val="19"/>
        </w:rPr>
        <w:t xml:space="preserve">S-14, S-15, Security Assurance Promise Set — Standard column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CURRENT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“No standard states ‘never convict on statistics.’” Stated as an absence of any governing standard.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AMENDED  </w:t>
      </w:r>
      <w:r>
        <w:rPr>
          <w:rFonts w:ascii="Calibri" w:cs="Calibri" w:eastAsia="Calibri" w:hAnsi="Calibri"/>
          <w:sz w:val="19"/>
          <w:szCs w:val="19"/>
        </w:rPr>
        <w:t xml:space="preserve">Corrected to cite the legal analogues that do exist: GDPR Article 22 and Kenya Data Protection Act 2019 section 35, both establishing a right against solely-automated adverse decisions. Marked explicitly as legal analogues, not security-conformance standards.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PRINCIPLE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Absence of a security standard is not absence of any standard. The narrower, accurate claim belongs in the document; the broader one overclaims.</w:t>
      </w:r>
    </w:p>
    <w:p>
      <w:pPr>
        <w:pBdr>
          <w:bottom w:val="single" w:color="D7DEE8" w:sz="6" w:space="6"/>
        </w:pBdr>
        <w:spacing w:after="100" w:before="280"/>
      </w:pPr>
      <w:r>
        <w:rPr>
          <w:rFonts w:ascii="Cambria" w:cs="Cambria" w:eastAsia="Cambria" w:hAnsi="Cambria"/>
          <w:b/>
          <w:bCs/>
          <w:color w:val="1E56A0"/>
          <w:sz w:val="22"/>
          <w:szCs w:val="22"/>
        </w:rPr>
        <w:t xml:space="preserve">Amendment 6   </w:t>
      </w:r>
      <w:r>
        <w:rPr>
          <w:rFonts w:ascii="Cambria" w:cs="Cambria" w:eastAsia="Cambria" w:hAnsi="Cambria"/>
          <w:b/>
          <w:bCs/>
          <w:color w:val="12294E"/>
          <w:sz w:val="22"/>
          <w:szCs w:val="22"/>
        </w:rPr>
        <w:t xml:space="preserve">The Watch Upgraded to a Full Reference Monitor Instance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TARGET  </w:t>
      </w:r>
      <w:r>
        <w:rPr>
          <w:rFonts w:ascii="Calibri" w:cs="Calibri" w:eastAsia="Calibri" w:hAnsi="Calibri"/>
          <w:sz w:val="19"/>
          <w:szCs w:val="19"/>
        </w:rPr>
        <w:t xml:space="preserve">akki_governance_architecture_v1, Part 2, Component 7 (The Watch)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CURRENT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Tagged “Reference-Monitor-adjacent” — a partial instantiation of Attribute 6.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AMENDED  </w:t>
      </w:r>
      <w:r>
        <w:rPr>
          <w:rFonts w:ascii="Calibri" w:cs="Calibri" w:eastAsia="Calibri" w:hAnsi="Calibri"/>
          <w:sz w:val="19"/>
          <w:szCs w:val="19"/>
        </w:rPr>
        <w:t xml:space="preserve">Upgraded to a full Reference Monitor instantiation. Document 3 demonstrates all three defining properties directly: complete mediation via A3's totality of sight, held by two independent proofs; tamper-resistance via C3's external witness and standing break-in test; verifiability via A2's description of Mkono as “small enough to verify exhaustively.”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PRINCIPLE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 component meeting a standard's properties in its own source document should be reclassified when the evidence is found. Under-classifying a strong instance is as much an accuracy failure as over-claiming a weak one. G-6's cross-monitor description requirement remains open for MOAC, the distance gate, and the format gate.</w:t>
      </w:r>
    </w:p>
    <w:p>
      <w:pPr>
        <w:pBdr>
          <w:bottom w:val="single" w:color="D7DEE8" w:sz="6" w:space="6"/>
        </w:pBdr>
        <w:spacing w:after="100" w:before="280"/>
      </w:pPr>
      <w:r>
        <w:rPr>
          <w:rFonts w:ascii="Cambria" w:cs="Cambria" w:eastAsia="Cambria" w:hAnsi="Cambria"/>
          <w:b/>
          <w:bCs/>
          <w:color w:val="1E56A0"/>
          <w:sz w:val="22"/>
          <w:szCs w:val="22"/>
        </w:rPr>
        <w:t xml:space="preserve">Amendment 7   </w:t>
      </w:r>
      <w:r>
        <w:rPr>
          <w:rFonts w:ascii="Cambria" w:cs="Cambria" w:eastAsia="Cambria" w:hAnsi="Cambria"/>
          <w:b/>
          <w:bCs/>
          <w:color w:val="12294E"/>
          <w:sz w:val="22"/>
          <w:szCs w:val="22"/>
        </w:rPr>
        <w:t xml:space="preserve">A5.9 Added to Attribute 11's Instantiation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TARGET  </w:t>
      </w:r>
      <w:r>
        <w:rPr>
          <w:rFonts w:ascii="Calibri" w:cs="Calibri" w:eastAsia="Calibri" w:hAnsi="Calibri"/>
          <w:sz w:val="19"/>
          <w:szCs w:val="19"/>
        </w:rPr>
        <w:t xml:space="preserve">akki_governance_architecture_v1, Attribute 11 (Failure Posture), Component 7 build requirements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CURRENT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The Watch's failure posture was not separately instantiated in Component 7's build requirements.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AMENDED  </w:t>
      </w:r>
      <w:r>
        <w:rPr>
          <w:rFonts w:ascii="Calibri" w:cs="Calibri" w:eastAsia="Calibri" w:hAnsi="Calibri"/>
          <w:sz w:val="19"/>
          <w:szCs w:val="19"/>
        </w:rPr>
        <w:t xml:space="preserve">Added as a build requirement citing A5.9 directly (S-12 in the promise set): the system will fail closed independent of the Watch — custody gates fail closed on their own, with or without the Watch above them. Tagged Attribute 11, status Met.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PRINCIPLE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A5.9 is explicitly a failure-posture statement — “the platform's fail-closed posture is independent of the Watch entirely.” Its absence from Attribute 11 was an oversight in the original component registry, not a judgement that it didn't apply.</w:t>
      </w:r>
    </w:p>
    <w:p>
      <w:pPr>
        <w:pBdr>
          <w:bottom w:val="single" w:color="D7DEE8" w:sz="6" w:space="6"/>
        </w:pBdr>
        <w:spacing w:after="100" w:before="280"/>
      </w:pPr>
      <w:r>
        <w:rPr>
          <w:rFonts w:ascii="Cambria" w:cs="Cambria" w:eastAsia="Cambria" w:hAnsi="Cambria"/>
          <w:b/>
          <w:bCs/>
          <w:color w:val="1E56A0"/>
          <w:sz w:val="22"/>
          <w:szCs w:val="22"/>
        </w:rPr>
        <w:t xml:space="preserve">Amendment 8   </w:t>
      </w:r>
      <w:r>
        <w:rPr>
          <w:rFonts w:ascii="Cambria" w:cs="Cambria" w:eastAsia="Cambria" w:hAnsi="Cambria"/>
          <w:b/>
          <w:bCs/>
          <w:color w:val="12294E"/>
          <w:sz w:val="22"/>
          <w:szCs w:val="22"/>
        </w:rPr>
        <w:t xml:space="preserve">Scope Statement Required for Eradication, Communication, and Evidence Custody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TARGET  </w:t>
      </w:r>
      <w:r>
        <w:rPr>
          <w:rFonts w:ascii="Calibri" w:cs="Calibri" w:eastAsia="Calibri" w:hAnsi="Calibri"/>
          <w:sz w:val="19"/>
          <w:szCs w:val="19"/>
        </w:rPr>
        <w:t xml:space="preserve">Document 3, scope — no current equivalent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CURRENT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Silent. Document 3 specifies detect, contain, record, prove, and reconcile. It does not address eradication, external communication, or evidence custody for proceedings — all required by NIST SP 800-61's incident lifecycle.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AMENDED  </w:t>
      </w:r>
      <w:r>
        <w:rPr>
          <w:rFonts w:ascii="Calibri" w:cs="Calibri" w:eastAsia="Calibri" w:hAnsi="Calibri"/>
          <w:sz w:val="19"/>
          <w:szCs w:val="19"/>
        </w:rPr>
        <w:t xml:space="preserve">Recommend an explicit scope statement in Document 3, resolving one of two ways: (a) name these three as deliberately out of the Watch's scope — the Watch contains; a named separate function eradicates, communicates, and manages evidentiary custody — with that function identified; or (b) declare them open gaps if no such function exists.</w:t>
      </w:r>
    </w:p>
    <w:p>
      <w:pPr>
        <w:spacing w:after="90" w:line="264"/>
        <w:ind w:left="200"/>
      </w:pPr>
      <w:r>
        <w:rPr>
          <w:rFonts w:ascii="Calibri" w:cs="Calibri" w:eastAsia="Calibri" w:hAnsi="Calibri"/>
          <w:b/>
          <w:bCs/>
          <w:color w:val="1E56A0"/>
          <w:sz w:val="18"/>
          <w:szCs w:val="18"/>
        </w:rPr>
        <w:t xml:space="preserve">PRINCIPLE 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Silence on a standard lifecycle's remaining stages reads as completeness to anyone unfamiliar with the full standard. The silence needs to be resolved one way or the other, not left ambiguous by omission.</w:t>
      </w:r>
    </w:p>
    <w:sectPr>
      <w:footerReference w:type="default" r:id="rId7"/>
      <w:pgSz w:w="12240" w:h="15840" w:orient="portrait"/>
      <w:pgMar w:top="1000" w:right="1150" w:bottom="10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8" w:sz="4" w:space="4"/>
      </w:pBdr>
      <w:jc w:val="center"/>
    </w:pPr>
    <w:r>
      <w:rPr>
        <w:rFonts w:ascii="Calibri" w:cs="Calibri" w:eastAsia="Calibri" w:hAnsi="Calibri"/>
        <w:i/>
        <w:iCs/>
        <w:color w:val="55606E"/>
        <w:sz w:val="13"/>
        <w:szCs w:val="13"/>
      </w:rPr>
      <w:t xml:space="preserve">Amendments — Security Assurance Promise Set · Commercial-in-confidence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2026-09-03T15:06:24.806Z</dcterms:created>
  <dcterms:modified xsi:type="dcterms:W3CDTF">2026-09-03T15:06:24.820Z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