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AKKI PLATFORM  ·  ENGINE SPECIFICATION  ·  3 OF 9</w:t>
      </w:r>
    </w:p>
    <w:p>
      <w:pPr>
        <w:spacing w:after="50"/>
      </w:pPr>
      <w:r>
        <w:rPr>
          <w:rFonts w:ascii="Cambria" w:cs="Cambria" w:eastAsia="Cambria" w:hAnsi="Cambria"/>
          <w:b/>
          <w:bCs/>
          <w:color w:val="12294E"/>
          <w:sz w:val="36"/>
          <w:szCs w:val="36"/>
        </w:rPr>
        <w:t xml:space="preserve">The Determinism Inventory</w:t>
      </w:r>
    </w:p>
    <w:p>
      <w:pPr>
        <w:pBdr>
          <w:bottom w:val="single" w:color="12294E" w:sz="10" w:space="6"/>
        </w:pBdr>
        <w:spacing w:after="170"/>
      </w:pPr>
      <w:r>
        <w:rPr>
          <w:rFonts w:ascii="Calibri" w:cs="Calibri" w:eastAsia="Calibri" w:hAnsi="Calibri"/>
          <w:color w:val="55606E"/>
          <w:sz w:val="22"/>
          <w:szCs w:val="22"/>
        </w:rPr>
        <w:t xml:space="preserve">determinism_inventory_v1 — Draft for owner ratification · Closes Document 0 G-10</w:t>
      </w:r>
    </w:p>
    <w:tbl>
      <w:tblPr>
        <w:tblW w:type="dxa" w:w="93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70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Every component on the platform — broader than tcb_enumeration_v1, which asks a narrower, conjunctive question (deterministic AND protection-critical). This document asks one question only — deterministic, or learned — of everything, whether or not it's protection-critical.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Basis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Attribute 10's own rule, verified: decision authority is held only by deterministic components; a learned component may detect, score, rank, propose, or draft, never decide.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Second half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Maps the platform's existing ruling loop — the pattern of proposal, scrutiny, and explicit ratification this entire canon runs on — against EU AI Act Article 14's five human-oversight capabilities, verified verbatim, rather than asserting “a human is in the loop” as if that were one thing.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Reuses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tcb_enumeration_v1's classification work directly — the two questions share almost all their evidence. Not re-derived from scratch.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Date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9 September 2026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1   Classification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Deterministic: given the same input and state, the same output, reasoned about exhaustively. Learned: statistically characterised, not exhaustively reasoned about, whatever its accuracy. A component is one or the other; where a named subsystem contains both, it is split, consistent with tcb_enumeration_v1's treatment of Solva, Targeta, and the Watch.</w:t>
      </w:r>
    </w:p>
    <w:tbl>
      <w:tblPr>
        <w:tblW w:type="dxa" w:w="89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400"/>
        <w:gridCol w:w="1300"/>
        <w:gridCol w:w="5260"/>
      </w:tblGrid>
      <w:tr>
        <w:trPr>
          <w:tblHeader/>
        </w:trPr>
        <w:tc>
          <w:tcPr>
            <w:tcW w:type="dxa" w:w="24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3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7"/>
                <w:szCs w:val="17"/>
              </w:rPr>
              <w:t xml:space="preserve">Class</w:t>
            </w:r>
          </w:p>
        </w:tc>
        <w:tc>
          <w:tcPr>
            <w:tcW w:type="dxa" w:w="52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Structural mechanism denying decision authority (if Learned)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SyniSense — chokepoint, custody sequence</w:t>
            </w:r>
          </w:p>
        </w:tc>
        <w:tc>
          <w:tcPr>
            <w:tcW w:type="dxa" w:w="1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52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 holds decision authority directly</w:t>
            </w:r>
          </w:p>
        </w:tc>
      </w:tr>
      <w:tr>
        <w:trPr>
          <w:tblHeader w:val="false"/>
        </w:trPr>
        <w:tc>
          <w:tcPr>
            <w:tcW w:type="dxa" w:w="24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Solva — assertion-boundary seam</w:t>
            </w:r>
          </w:p>
        </w:tc>
        <w:tc>
          <w:tcPr>
            <w:tcW w:type="dxa" w:w="13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52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 holds decision authority over what may be asserted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Solva — reasoning / generation</w:t>
            </w:r>
          </w:p>
        </w:tc>
        <w:tc>
          <w:tcPr>
            <w:tcW w:type="dxa" w:w="1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Learned</w:t>
            </w:r>
          </w:p>
        </w:tc>
        <w:tc>
          <w:tcPr>
            <w:tcW w:type="dxa" w:w="52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The assertion-boundary seam refuses anything the reasoning produces that isn't independently evidenced. The seam decides; Solva proposes.</w:t>
            </w:r>
          </w:p>
        </w:tc>
      </w:tr>
      <w:tr>
        <w:trPr>
          <w:tblHeader w:val="false"/>
        </w:trPr>
        <w:tc>
          <w:tcPr>
            <w:tcW w:type="dxa" w:w="24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Northena — objective-freeze mechanism</w:t>
            </w:r>
          </w:p>
        </w:tc>
        <w:tc>
          <w:tcPr>
            <w:tcW w:type="dxa" w:w="13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52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Mtafiti — registry storage/query</w:t>
            </w:r>
          </w:p>
        </w:tc>
        <w:tc>
          <w:tcPr>
            <w:tcW w:type="dxa" w:w="1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52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Mtafiti — any AI-assisted classification suggestion (if present)</w:t>
            </w:r>
          </w:p>
        </w:tc>
        <w:tc>
          <w:tcPr>
            <w:tcW w:type="dxa" w:w="13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Learned</w:t>
            </w:r>
          </w:p>
        </w:tc>
        <w:tc>
          <w:tcPr>
            <w:tcW w:type="dxa" w:w="52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Not confirmed as existing in canon. If built, it proposes a classification; a deterministic confirmation step (undefined — flagged) would need to decide.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Targeta — yield wall / MOAC</w:t>
            </w:r>
          </w:p>
        </w:tc>
        <w:tc>
          <w:tcPr>
            <w:tcW w:type="dxa" w:w="1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52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 holds acceptance authority directly</w:t>
            </w:r>
          </w:p>
        </w:tc>
      </w:tr>
      <w:tr>
        <w:trPr>
          <w:tblHeader w:val="false"/>
        </w:trPr>
        <w:tc>
          <w:tcPr>
            <w:tcW w:type="dxa" w:w="24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Targeta — the model being trained</w:t>
            </w:r>
          </w:p>
        </w:tc>
        <w:tc>
          <w:tcPr>
            <w:tcW w:type="dxa" w:w="13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Learned</w:t>
            </w:r>
          </w:p>
        </w:tc>
        <w:tc>
          <w:tcPr>
            <w:tcW w:type="dxa" w:w="52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Cannot accept or refuse its own output. MOAC, downstream and deterministic, decides.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Mkondo — hand-off registry</w:t>
            </w:r>
          </w:p>
        </w:tc>
        <w:tc>
          <w:tcPr>
            <w:tcW w:type="dxa" w:w="1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52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The Watch — Mkono (response)</w:t>
            </w:r>
          </w:p>
        </w:tc>
        <w:tc>
          <w:tcPr>
            <w:tcW w:type="dxa" w:w="13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52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 holds containment authority directly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The Watch — Grey Mirror (detection)</w:t>
            </w:r>
          </w:p>
        </w:tc>
        <w:tc>
          <w:tcPr>
            <w:tcW w:type="dxa" w:w="1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Learned</w:t>
            </w:r>
          </w:p>
        </w:tc>
        <w:tc>
          <w:tcPr>
            <w:tcW w:type="dxa" w:w="52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Mkono acts only on a signed verdict Grey Mirror cannot itself produce authority over — Grey Mirror asserts facts; Mkono decides (A2, verified verbatim).</w:t>
            </w:r>
          </w:p>
        </w:tc>
      </w:tr>
      <w:tr>
        <w:trPr>
          <w:tblHeader w:val="false"/>
        </w:trPr>
        <w:tc>
          <w:tcPr>
            <w:tcW w:type="dxa" w:w="24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The Ledger — writer</w:t>
            </w:r>
          </w:p>
        </w:tc>
        <w:tc>
          <w:tcPr>
            <w:tcW w:type="dxa" w:w="13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52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CIF — ideation faculty</w:t>
            </w:r>
          </w:p>
        </w:tc>
        <w:tc>
          <w:tcPr>
            <w:tcW w:type="dxa" w:w="1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Learned</w:t>
            </w:r>
          </w:p>
        </w:tc>
        <w:tc>
          <w:tcPr>
            <w:tcW w:type="dxa" w:w="52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Single-experiment principle: existence unconditional, but every adopted idea passes a deterministic acceptance point before affecting a run (BR-9.2, already on record).</w:t>
            </w:r>
          </w:p>
        </w:tc>
      </w:tr>
      <w:tr>
        <w:trPr>
          <w:tblHeader w:val="false"/>
        </w:trPr>
        <w:tc>
          <w:tcPr>
            <w:tcW w:type="dxa" w:w="24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Critic Seam — RV-tier</w:t>
            </w:r>
          </w:p>
        </w:tc>
        <w:tc>
          <w:tcPr>
            <w:tcW w:type="dxa" w:w="13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52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Critic Seam — QA-tier</w:t>
            </w:r>
          </w:p>
        </w:tc>
        <w:tc>
          <w:tcPr>
            <w:tcW w:type="dxa" w:w="1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Learned</w:t>
            </w:r>
          </w:p>
        </w:tc>
        <w:tc>
          <w:tcPr>
            <w:tcW w:type="dxa" w:w="52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QA-1's own rule: findings route to RV-tier or a human; a QA finding cannot block execution on its own.</w:t>
            </w:r>
          </w:p>
        </w:tc>
      </w:tr>
      <w:tr>
        <w:trPr>
          <w:tblHeader w:val="false"/>
        </w:trPr>
        <w:tc>
          <w:tcPr>
            <w:tcW w:type="dxa" w:w="24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Rules Service — ceremony engine</w:t>
            </w:r>
          </w:p>
        </w:tc>
        <w:tc>
          <w:tcPr>
            <w:tcW w:type="dxa" w:w="13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52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Rules Service — AI-assisted drafting</w:t>
            </w:r>
          </w:p>
        </w:tc>
        <w:tc>
          <w:tcPr>
            <w:tcW w:type="dxa" w:w="1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Learned</w:t>
            </w:r>
          </w:p>
        </w:tc>
        <w:tc>
          <w:tcPr>
            <w:tcW w:type="dxa" w:w="52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RBM-2: proposes; the named human author confirms before a rule enters PROPOSED. The confirmation is the deterministic decision point.</w:t>
            </w:r>
          </w:p>
        </w:tc>
      </w:tr>
      <w:tr>
        <w:trPr>
          <w:tblHeader w:val="false"/>
        </w:trPr>
        <w:tc>
          <w:tcPr>
            <w:tcW w:type="dxa" w:w="24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Whitepaper Wizard — eligibility gate</w:t>
            </w:r>
          </w:p>
        </w:tc>
        <w:tc>
          <w:tcPr>
            <w:tcW w:type="dxa" w:w="13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52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Whitepaper Wizard — prose assembly</w:t>
            </w:r>
          </w:p>
        </w:tc>
        <w:tc>
          <w:tcPr>
            <w:tcW w:type="dxa" w:w="1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7"/>
                <w:szCs w:val="17"/>
              </w:rPr>
              <w:t xml:space="preserve">Learned</w:t>
            </w:r>
          </w:p>
        </w:tc>
        <w:tc>
          <w:tcPr>
            <w:tcW w:type="dxa" w:w="52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Draws only on Tier 1/2 artefacts (WPW-13); the eligibility gate, not the prose engine, decides whether a paper may publish.</w:t>
            </w:r>
          </w:p>
        </w:tc>
      </w:tr>
      <w:tr>
        <w:trPr>
          <w:tblHeader w:val="false"/>
        </w:trPr>
        <w:tc>
          <w:tcPr>
            <w:tcW w:type="dxa" w:w="24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DAP — release budget, distance gate, output-content gate</w:t>
            </w:r>
          </w:p>
        </w:tc>
        <w:tc>
          <w:tcPr>
            <w:tcW w:type="dxa" w:w="13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52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 each holds its own admit/refuse authority directly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DAP — admission-probe trigger scan (backdoor detection half)</w:t>
            </w:r>
          </w:p>
        </w:tc>
        <w:tc>
          <w:tcPr>
            <w:tcW w:type="dxa" w:w="1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7"/>
                <w:szCs w:val="17"/>
              </w:rPr>
              <w:t xml:space="preserve">Mixed — flagged</w:t>
            </w:r>
          </w:p>
        </w:tc>
        <w:tc>
          <w:tcPr>
            <w:tcW w:type="dxa" w:w="52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Where the technique is statistical, it informs; the canary-touch half of the same probe (on A5.2's closed registry) is what actually decides admission.</w:t>
            </w:r>
          </w:p>
        </w:tc>
      </w:tr>
      <w:tr>
        <w:trPr>
          <w:tblHeader w:val="false"/>
        </w:trPr>
        <w:tc>
          <w:tcPr>
            <w:tcW w:type="dxa" w:w="24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Deck Rendering Engine</w:t>
            </w:r>
          </w:p>
        </w:tc>
        <w:tc>
          <w:tcPr>
            <w:tcW w:type="dxa" w:w="13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7"/>
                <w:szCs w:val="17"/>
              </w:rPr>
              <w:t xml:space="preserve">Deterministic</w:t>
            </w:r>
          </w:p>
        </w:tc>
        <w:tc>
          <w:tcPr>
            <w:tcW w:type="dxa" w:w="52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— not a decision authority in the governance sense; included for completeness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2   Human Oversight Against Article 14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Where a human, not a deterministic component, is the check on a learned component's output, Article 14 names five distinct capabilities. The platform's own ruling loop — every decision recorded across this programme, from the four owner rulings at the start through every parked ruling since — is mapped against each separately, because a loop that serves one well does not thereby serve all five.</w:t>
      </w:r>
    </w:p>
    <w:tbl>
      <w:tblPr>
        <w:tblW w:type="dxa" w:w="90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300"/>
        <w:gridCol w:w="2200"/>
        <w:gridCol w:w="4560"/>
      </w:tblGrid>
      <w:tr>
        <w:trPr>
          <w:tblHeader/>
        </w:trPr>
        <w:tc>
          <w:tcPr>
            <w:tcW w:type="dxa" w:w="23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2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45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(a) Understand &amp; monitor</w:t>
            </w:r>
          </w:p>
        </w:tc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Partially evidenced</w:t>
            </w:r>
          </w:p>
        </w:tc>
        <w:tc>
          <w:tcPr>
            <w:tcW w:type="dxa" w:w="45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STATE/NEXT.md-style tracking and the Rules Registry (once built) give an overseer a current, queryable view. Not confirmed as designed for this specific purpose — it was built for change-control, and happens to serve oversight.</w:t>
            </w:r>
          </w:p>
        </w:tc>
      </w:tr>
      <w:tr>
        <w:trPr>
          <w:tblHeader w:val="false"/>
        </w:trPr>
        <w:tc>
          <w:tcPr>
            <w:tcW w:type="dxa" w:w="23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(b) Aware of automation bias</w:t>
            </w:r>
          </w:p>
        </w:tc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Directly addressed</w:t>
            </w:r>
          </w:p>
        </w:tc>
        <w:tc>
          <w:tcPr>
            <w:tcW w:type="dxa" w:w="45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A5.16 (recommendation provenance) exists specifically because a human acting on an agent's advice without knowing it was advice is the automation-bias failure mode. The action record surfaces the recommendation at the point of action — not after.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(c) Correctly interpret output</w:t>
            </w:r>
          </w:p>
        </w:tc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Evidenced by design, not tested</w:t>
            </w:r>
          </w:p>
        </w:tc>
        <w:tc>
          <w:tcPr>
            <w:tcW w:type="dxa" w:w="45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Every claim traces to evidence in one step (A8, “Walk this →”). Whether a given overseer actually interprets correctly, given that trace, has never been tested with a real reviewer.</w:t>
            </w:r>
          </w:p>
        </w:tc>
      </w:tr>
      <w:tr>
        <w:trPr>
          <w:tblHeader w:val="false"/>
        </w:trPr>
        <w:tc>
          <w:tcPr>
            <w:tcW w:type="dxa" w:w="23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(d) Override, disregard, reverse</w:t>
            </w:r>
          </w:p>
        </w:tc>
        <w:tc>
          <w:tcPr>
            <w:tcW w:type="dxa" w:w="22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Strongly evidenced</w:t>
            </w:r>
          </w:p>
        </w:tc>
        <w:tc>
          <w:tcPr>
            <w:tcW w:type="dxa" w:w="45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The best-evidenced capability on this list. Every ruling in this canon's own history is an instance of exactly this — including several that reversed or corrected a prior proposal, this document's own predecessors among them.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(e) Halt to a safe state</w:t>
            </w:r>
          </w:p>
        </w:tc>
        <w:tc>
          <w:tcPr>
            <w:tcW w:type="dxa" w:w="2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Partially evidenced, one confirmed gap</w:t>
            </w:r>
          </w:p>
        </w:tc>
        <w:tc>
          <w:tcPr>
            <w:tcW w:type="dxa" w:w="45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The Watch can stop anything (A5.3, “destroy does not exist in the Watch”). Whether CIF's ideation can be halted independently of halting the Targeta run it feeds — named as unconfirmed when W-3 through W-8 were drafted — remains unconfirmed here too.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3   Findings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Sixteen components classified without ambiguity. One genuinely mixed case — the DAP-32 trigger scan — carried forward from the amendment that created it rather than forced to a single verdict here. Of Article 14's five capabilities, one (override) is strongly evidenced by this canon's own working method; one (automation bias) is directly and deliberately addressed by a named requirement; two (understand-and-monitor, correct interpretation) are plausible but unconfirmed by design intent or by test; and one (halt-to-safe-state) has a specific, named, still-open question — whether CIF can be stopped independent of the run it feeds.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DET-1  </w:t>
      </w:r>
      <w:r>
        <w:rPr>
          <w:rFonts w:ascii="Calibri" w:cs="Calibri" w:eastAsia="Calibri" w:hAnsi="Calibri"/>
          <w:sz w:val="20"/>
          <w:szCs w:val="20"/>
        </w:rPr>
        <w:t xml:space="preserve">Confirm or build a halt mechanism for CIF independent of halting the Targeta run it feeds — closing capability (e) fully rather than leaving it partially evidenced.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DET-2  </w:t>
      </w:r>
      <w:r>
        <w:rPr>
          <w:rFonts w:ascii="Calibri" w:cs="Calibri" w:eastAsia="Calibri" w:hAnsi="Calibri"/>
          <w:sz w:val="20"/>
          <w:szCs w:val="20"/>
        </w:rPr>
        <w:t xml:space="preserve">Where an AI-assisted classification capability is built into Mtafiti, name the deterministic confirmation step before it ships — not after, per this inventory's own method for every other learned component.</w:t>
      </w:r>
    </w:p>
    <w:p>
      <w:pPr>
        <w:pBdr>
          <w:left w:val="single" w:color="8A6D1A" w:sz="14" w:space="7"/>
        </w:pBdr>
        <w:shd w:fill="FBF6E6" w:val="clear"/>
        <w:spacing w:after="150" w:before="90"/>
        <w:ind w:left="110" w:right="110"/>
      </w:pPr>
      <w:r>
        <w:rPr>
          <w:rFonts w:ascii="Calibri" w:cs="Calibri" w:eastAsia="Calibri" w:hAnsi="Calibri"/>
          <w:i/>
          <w:iCs/>
          <w:color w:val="5A4A10"/>
          <w:sz w:val="19"/>
          <w:szCs w:val="19"/>
        </w:rPr>
        <w:t xml:space="preserve">This inventory itself should be re-run, not assumed permanent, whenever a new component is added to the platform — consistent with tcb_enumeration_v1's own standing clause. The two share a maintenance obligation because they share almost all their evidence.</w:t>
      </w:r>
    </w:p>
    <w:sectPr>
      <w:footerReference w:type="default" r:id="rId7"/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8" w:sz="4" w:space="4"/>
      </w:pBdr>
      <w:jc w:val="center"/>
    </w:pPr>
    <w:r>
      <w:rPr>
        <w:rFonts w:ascii="Calibri" w:cs="Calibri" w:eastAsia="Calibri" w:hAnsi="Calibri"/>
        <w:i/>
        <w:iCs/>
        <w:color w:val="55606E"/>
        <w:sz w:val="13"/>
        <w:szCs w:val="13"/>
      </w:rPr>
      <w:t xml:space="preserve">Determinism Inventory · determinism_inventory_v1 · Draft for owner ratification · Commercial-in-confidence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2026-09-09T08:27:18.916Z</dcterms:created>
  <dcterms:modified xsi:type="dcterms:W3CDTF">2026-09-09T08:27:18.916Z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