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ENGINE SPECIFICATION  ·  5 OF 9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4"/>
          <w:szCs w:val="34"/>
        </w:rPr>
        <w:t xml:space="preserve">Failure Posture Enumeration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failure_posture_v1 — Draft for owner ratification · Closes Document 0 G-11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Requirement answered</w:t>
            </w:r>
          </w:p>
        </w:tc>
        <w:tc>
          <w:tcPr>
            <w:tcW w:type="dxa" w:w="706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CC FPT_FLS.1: preserve a secure state for an enumerated list of failure types — the enumeration is the requirement, not a general commitment. NIST SC-24: fail to a known state, preserving defined state information.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Scope</w:t>
            </w:r>
          </w:p>
        </w:tc>
        <w:tc>
          <w:tcPr>
            <w:tcW w:type="dxa" w:w="70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Every component in tcb_enumeration_v1's IN column, plus DAP's already-specified posture (DAP-28–30), carried here rather than re-derived, and the three unconfigured-gate defaults flagged in security_architecture_v1 (SEC-4, SEC-6, SEC-7), absorbed as one platform-wide rule rather than three separate clauses.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Finding, stated up front</w:t>
            </w:r>
          </w:p>
        </w:tc>
        <w:tc>
          <w:tcPr>
            <w:tcW w:type="dxa" w:w="70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platform already gets this right in the cases that have been examined closely — the chokepoint fails closed, the consumption levers correctly fail safe-open toward recomputation. What was missing was the enumeration, not the behaviour.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Date</w:t>
            </w:r>
          </w:p>
        </w:tc>
        <w:tc>
          <w:tcPr>
            <w:tcW w:type="dxa" w:w="70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1   The Platform Default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FP-1  </w:t>
      </w:r>
      <w:r>
        <w:rPr>
          <w:rFonts w:ascii="Calibri" w:cs="Calibri" w:eastAsia="Calibri" w:hAnsi="Calibri"/>
          <w:sz w:val="20"/>
          <w:szCs w:val="20"/>
        </w:rPr>
        <w:t xml:space="preserve">Every component in the Trusted Computing Base fails closed by default. An evaluation that cannot complete — configuration unset, a dependency unreachable, a check erroring — refuses the operation it governs. This is the default; §3 lists the components that correctly depart from it, and why.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FP-2  </w:t>
      </w:r>
      <w:r>
        <w:rPr>
          <w:rFonts w:ascii="Calibri" w:cs="Calibri" w:eastAsia="Calibri" w:hAnsi="Calibri"/>
          <w:sz w:val="20"/>
          <w:szCs w:val="20"/>
        </w:rPr>
        <w:t xml:space="preserve">A gate whose governing configuration is unset or fails integrity verification at load refuses by default rather than passing by default. This absorbs security_architecture_v1's SEC-4 (MOAC), SEC-6 (the distance gate), and SEC-7 (the admission probe) as one rule rather than three restatements of it — an unconfigured gate is a closed gate, platform-wide, not per-component.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2   Per-Component Enumeration</w:t>
      </w:r>
    </w:p>
    <w:tbl>
      <w:tblPr>
        <w:tblW w:type="dxa" w:w="90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2600"/>
        <w:gridCol w:w="1500"/>
        <w:gridCol w:w="27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60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Failure types</w:t>
            </w:r>
          </w:p>
        </w:tc>
        <w:tc>
          <w:tcPr>
            <w:tcW w:type="dxa" w:w="150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Posture</w:t>
            </w:r>
          </w:p>
        </w:tc>
        <w:tc>
          <w:tcPr>
            <w:tcW w:type="dxa" w:w="2760"/>
            <w:shd w:fill="12294E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Preserved state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SyniSense — chokepoint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Custody policy unreadable; de-identification step errors; re-identification key unavailable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crossing attempt itself — who, what, when — written before the attempt, so a failed crossing is still evidenced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SyniSense — closed network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Allowlist configuration unreachable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outbound connection attempted; the refusal reason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Solva — assertion-boundary seam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Anchor map cannot be computed; source material unreachable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unanchored draft is discarded, not served; the refusal with structured reason (A5.5)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Northena — objective-freeze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Freeze record unreadable at a hand-off point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job halts rather than proceeding on an unverifiable scope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Mtafiti — registry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Write path unavailable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Fail-closed for writes; fail-safe-open for reads of already-committed data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Last successfully committed state remains queryable even while writes are refused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Targeta — yield wall / MOAC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Criteria configuration unset or unverifiable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run's own artefacts remain intact; nothing is marked accepted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Mkondo — hand-off registry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Registry write fails mid-handoff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Neither side treats the hand-off as complete; the attempt is recorded as failed, not silently retried as success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The Watch — Mkono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Verdict cannot be read; policy table unreachable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Fail-closed on new actions; already-active containments persist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Every action already in force stays in force — a Watch outage does not release a contained actor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The Ledger — writer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Storage unreachable; hash-chain verification fails on write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Fail-closed — and everything that depends on writing to it (§1 FP-1) fails closed in consequence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chain up to the last verified entry; no entry is ever appended out of order to “catch up”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MOAC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As Targeta's wall — same component, listed once above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—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Critic Seam — RV-tier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 deterministic check cannot execute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Fail-closed — escalates to a human rather than passing unchecked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submission awaiting review; nothing is marked reviewed</w:t>
            </w:r>
          </w:p>
        </w:tc>
      </w:tr>
      <w:tr>
        <w:trPr>
          <w:tblHeader w:val="false"/>
        </w:trPr>
        <w:tc>
          <w:tcPr>
            <w:tcW w:type="dxa" w:w="22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Rules Service — ceremony engine</w:t>
            </w:r>
          </w:p>
        </w:tc>
        <w:tc>
          <w:tcPr>
            <w:tcW w:type="dxa" w:w="26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Countdown timer or countersign verification unreachable</w:t>
            </w:r>
          </w:p>
        </w:tc>
        <w:tc>
          <w:tcPr>
            <w:tcW w:type="dxa" w:w="150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Fail-closed — no rule reaches CANON on an unverifiable ceremony</w:t>
            </w:r>
          </w:p>
        </w:tc>
        <w:tc>
          <w:tcPr>
            <w:tcW w:type="dxa" w:w="2760"/>
            <w:shd w:fill="F5F7FA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rule remains PROPOSED; the ceremony's partial progress, so it can resume rather than restart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DAP — release budget, distance gate, output-content gate</w:t>
            </w:r>
          </w:p>
        </w:tc>
        <w:tc>
          <w:tcPr>
            <w:tcW w:type="dxa" w:w="26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As specified in dap_backend_spec_v1 DAP-28–30 and this set's own SEC-6/security_architecture_v1</w:t>
            </w:r>
          </w:p>
        </w:tc>
        <w:tc>
          <w:tcPr>
            <w:tcW w:type="dxa" w:w="150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Fail-closed</w:t>
            </w:r>
          </w:p>
        </w:tc>
        <w:tc>
          <w:tcPr>
            <w:tcW w:type="dxa" w:w="2760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Carried by reference — not restated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3   The Departures — Where Fail-Safe-Open Is Correct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Two departures from §1's default, both already correct in the system as built, now stated as deliberate rather than left to be discovered.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FP-3  </w:t>
      </w:r>
      <w:r>
        <w:rPr>
          <w:rFonts w:ascii="Calibri" w:cs="Calibri" w:eastAsia="Calibri" w:hAnsi="Calibri"/>
          <w:sz w:val="20"/>
          <w:szCs w:val="20"/>
        </w:rPr>
        <w:t xml:space="preserve">Mtafiti's read path fails safe-open: a write failure never blocks a query against already-committed estate composition. The alternative — refusing to answer “what exists” because “what changed most recently” cannot be confirmed — would make an outage indistinguishable from data loss to everyone reading the registry, which is a worse failure than serving slightly stale data marked as such.</w:t>
      </w:r>
    </w:p>
    <w:p>
      <w:pPr>
        <w:spacing w:after="90" w:line="268"/>
        <w:ind w:left="240"/>
      </w:pPr>
      <w:r>
        <w:rPr>
          <w:rFonts w:ascii="Courier New" w:cs="Courier New" w:eastAsia="Courier New" w:hAnsi="Courier New"/>
          <w:b/>
          <w:bCs/>
          <w:color w:val="1E56A0"/>
          <w:sz w:val="18"/>
          <w:szCs w:val="18"/>
        </w:rPr>
        <w:t xml:space="preserve">FP-4  </w:t>
      </w:r>
      <w:r>
        <w:rPr>
          <w:rFonts w:ascii="Calibri" w:cs="Calibri" w:eastAsia="Calibri" w:hAnsi="Calibri"/>
          <w:sz w:val="20"/>
          <w:szCs w:val="20"/>
        </w:rPr>
        <w:t xml:space="preserve">The Watch's already-active containments persist through a Watch outage rather than lapsing. This is fail-closed for new decisions and explicitly not fail-open for standing ones — the two are evaluated separately, and conflating them would silently release every contained actor the moment the Watch itself failed, which is precisely when containment matters most.</w:t>
      </w:r>
    </w:p>
    <w:p>
      <w:pPr>
        <w:pBdr>
          <w:left w:val="single" w:color="8A6D1A" w:sz="14" w:space="7"/>
        </w:pBdr>
        <w:shd w:fill="FBF6E6" w:val="clear"/>
        <w:spacing w:after="150" w:before="90"/>
        <w:ind w:left="110" w:right="110"/>
      </w:pPr>
      <w:r>
        <w:rPr>
          <w:rFonts w:ascii="Calibri" w:cs="Calibri" w:eastAsia="Calibri" w:hAnsi="Calibri"/>
          <w:i/>
          <w:iCs/>
          <w:color w:val="5A4A10"/>
          <w:sz w:val="19"/>
          <w:szCs w:val="19"/>
        </w:rPr>
        <w:t xml:space="preserve">Recovery time objective and recovery point objective for the Ledger writer specifically are covered in the Business Continuity Annex (document 8 of this set), not restated here — this document specifies posture per component; that one specifies how long a failure may last and how much may be lost before it is a breach in its own right.</w:t>
      </w:r>
    </w:p>
    <w:p>
      <w:pPr>
        <w:pStyle w:val="Heading1"/>
        <w:pBdr>
          <w:bottom w:val="single" w:color="D7DEE8" w:sz="6" w:space="6"/>
        </w:pBdr>
        <w:spacing w:after="140" w:before="320"/>
      </w:pPr>
      <w:r>
        <w:rPr>
          <w:rFonts w:ascii="Cambria" w:cs="Cambria" w:eastAsia="Cambria" w:hAnsi="Cambria"/>
          <w:b/>
          <w:bCs/>
          <w:color w:val="12294E"/>
          <w:sz w:val="25"/>
          <w:szCs w:val="25"/>
        </w:rPr>
        <w:t xml:space="preserve">4   Standing</w:t>
      </w:r>
    </w:p>
    <w:p>
      <w:pPr>
        <w:spacing w:after="130" w:line="276"/>
      </w:pPr>
      <w:r>
        <w:rPr>
          <w:rFonts w:ascii="Calibri" w:cs="Calibri" w:eastAsia="Calibri" w:hAnsi="Calibri"/>
          <w:sz w:val="20"/>
          <w:szCs w:val="20"/>
        </w:rPr>
        <w:t xml:space="preserve">A component added to the Trusted Computing Base under tcb_enumeration_v1's own standing clause is added here in the same turn — posture, failure types, and preserved state, not deferred to a later pass. §1's default applies until stated otherwise; a new TCB member that departs from it states so explicitly, the way §3 does for Mtafiti and the Watch.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Failure Posture Enumeration · failure_posture_v1 · Draft for owner ratification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2026-09-09T08:30:30.760Z</dcterms:created>
  <dcterms:modified xsi:type="dcterms:W3CDTF">2026-09-09T08:30:30.760Z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