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AKKI PLATFORM  ·  ENGINE SPECIFICATION  ·  7 OF 9</w:t>
      </w:r>
    </w:p>
    <w:p>
      <w:pPr>
        <w:spacing w:after="50"/>
      </w:pPr>
      <w:r>
        <w:rPr>
          <w:rFonts w:ascii="Cambria" w:cs="Cambria" w:eastAsia="Cambria" w:hAnsi="Cambria"/>
          <w:b/>
          <w:bCs/>
          <w:color w:val="12294E"/>
          <w:sz w:val="36"/>
          <w:szCs w:val="36"/>
        </w:rPr>
        <w:t xml:space="preserve">Hand-Off Generalisation</w:t>
      </w:r>
    </w:p>
    <w:p>
      <w:pPr>
        <w:pBdr>
          <w:bottom w:val="single" w:color="12294E" w:sz="10" w:space="6"/>
        </w:pBdr>
        <w:spacing w:after="170"/>
      </w:pPr>
      <w:r>
        <w:rPr>
          <w:rFonts w:ascii="Calibri" w:cs="Calibri" w:eastAsia="Calibri" w:hAnsi="Calibri"/>
          <w:color w:val="55606E"/>
          <w:sz w:val="22"/>
          <w:szCs w:val="22"/>
        </w:rPr>
        <w:t xml:space="preserve">handoff_registry_v1 — Draft for owner ratification · Closes Document 0 G-13</w:t>
      </w:r>
    </w:p>
    <w:tbl>
      <w:tblPr>
        <w:tblW w:type="dxa" w:w="93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706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Promise #32's guarantee — clean hand-offs, no dropped context, no silently recalibrated objective — is instantiated exactly once: ThinkLab handing a completed reasoning session to Task Manager. Every other subsystem-to-subsystem hand-off has no registered contract at all, per BR-6.1 and the Security Amendments' G-13 finding.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What already exists to build on</w:t>
            </w:r>
          </w:p>
        </w:tc>
        <w:tc>
          <w:tcPr>
            <w:tcW w:type="dxa" w:w="7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Two ingredients, both already shared mechanisms: Northena's objective-freeze (BR-3.1, “a single, shared implementation invoked identically by every subsystem that hands off a job”) and the registered-handoff-contract shape the one working instance already uses — what was commissioned, its shape, the identity of both ends, a receipt.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What this document adds</w:t>
            </w:r>
          </w:p>
        </w:tc>
        <w:tc>
          <w:tcPr>
            <w:tcW w:type="dxa" w:w="7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missing half: a hand-off registry every crossing writes to and every receiving subsystem checks, owned by Mkondo, generalising the one instance to all of them.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Date</w:t>
            </w:r>
          </w:p>
        </w:tc>
        <w:tc>
          <w:tcPr>
            <w:tcW w:type="dxa" w:w="7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9 September 2026</w:t>
            </w:r>
          </w:p>
        </w:tc>
      </w:tr>
    </w:tbl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1   The Registry</w:t>
      </w:r>
    </w:p>
    <w:p>
      <w:pPr>
        <w:spacing w:after="90" w:line="268"/>
        <w:ind w:left="240"/>
      </w:pPr>
      <w:r>
        <w:rPr>
          <w:rFonts w:ascii="Courier New" w:cs="Courier New" w:eastAsia="Courier New" w:hAnsi="Courier New"/>
          <w:b/>
          <w:bCs/>
          <w:color w:val="1E56A0"/>
          <w:sz w:val="18"/>
          <w:szCs w:val="18"/>
        </w:rPr>
        <w:t xml:space="preserve">HR-1  </w:t>
      </w:r>
      <w:r>
        <w:rPr>
          <w:rFonts w:ascii="Calibri" w:cs="Calibri" w:eastAsia="Calibri" w:hAnsi="Calibri"/>
          <w:sz w:val="20"/>
          <w:szCs w:val="20"/>
        </w:rPr>
        <w:t xml:space="preserve">Mkondo owns a hand-off registry. Every job passed from one subsystem to another — not only ThinkLab to Task Manager — writes an entry before the receiving subsystem may act on it.</w:t>
      </w:r>
    </w:p>
    <w:p>
      <w:pPr>
        <w:spacing w:after="90" w:line="268"/>
        <w:ind w:left="240"/>
      </w:pPr>
      <w:r>
        <w:rPr>
          <w:rFonts w:ascii="Courier New" w:cs="Courier New" w:eastAsia="Courier New" w:hAnsi="Courier New"/>
          <w:b/>
          <w:bCs/>
          <w:color w:val="1E56A0"/>
          <w:sz w:val="18"/>
          <w:szCs w:val="18"/>
        </w:rPr>
        <w:t xml:space="preserve">HR-2  </w:t>
      </w:r>
      <w:r>
        <w:rPr>
          <w:rFonts w:ascii="Calibri" w:cs="Calibri" w:eastAsia="Calibri" w:hAnsi="Calibri"/>
          <w:sz w:val="20"/>
          <w:szCs w:val="20"/>
        </w:rPr>
        <w:t xml:space="preserve">A hand-off entry carries: the commissioning subsystem's identity; the receiving subsystem's identity; the job's frozen objective, from Northena's existing mechanism (BR-3.1); the shape of what is being handed off (a reasoning session, a training commission, an extraction request, a rule proposal — whatever the job class); a timestamp from the platform's reliable time source; and a receipt once the receiving subsystem acknowledges.</w:t>
      </w:r>
    </w:p>
    <w:p>
      <w:pPr>
        <w:spacing w:after="90" w:line="268"/>
        <w:ind w:left="240"/>
      </w:pPr>
      <w:r>
        <w:rPr>
          <w:rFonts w:ascii="Courier New" w:cs="Courier New" w:eastAsia="Courier New" w:hAnsi="Courier New"/>
          <w:b/>
          <w:bCs/>
          <w:color w:val="1E56A0"/>
          <w:sz w:val="18"/>
          <w:szCs w:val="18"/>
        </w:rPr>
        <w:t xml:space="preserve">HR-3  </w:t>
      </w:r>
      <w:r>
        <w:rPr>
          <w:rFonts w:ascii="Calibri" w:cs="Calibri" w:eastAsia="Calibri" w:hAnsi="Calibri"/>
          <w:sz w:val="20"/>
          <w:szCs w:val="20"/>
        </w:rPr>
        <w:t xml:space="preserve">A receiving subsystem MUST refuse to act on a hand-off that has no registry entry. This is the generalisation of the one existing guarantee (Promise #32: a malformed hand-off surfaces as a finding at the point of hand-off) to every crossing, not only the instantiated one.</w:t>
      </w:r>
    </w:p>
    <w:p>
      <w:pPr>
        <w:spacing w:after="90" w:line="268"/>
        <w:ind w:left="240"/>
      </w:pPr>
      <w:r>
        <w:rPr>
          <w:rFonts w:ascii="Courier New" w:cs="Courier New" w:eastAsia="Courier New" w:hAnsi="Courier New"/>
          <w:b/>
          <w:bCs/>
          <w:color w:val="1E56A0"/>
          <w:sz w:val="18"/>
          <w:szCs w:val="18"/>
        </w:rPr>
        <w:t xml:space="preserve">HR-4  </w:t>
      </w:r>
      <w:r>
        <w:rPr>
          <w:rFonts w:ascii="Calibri" w:cs="Calibri" w:eastAsia="Calibri" w:hAnsi="Calibri"/>
          <w:sz w:val="20"/>
          <w:szCs w:val="20"/>
        </w:rPr>
        <w:t xml:space="preserve">The no-dual-hatted-task rule (Promise #32) is enforced at registration: a hand-off entry naming a job already open under a different receiving subsystem is refused, not merely discouraged. This moves the rule from convention (as BR-6.3 found it) to a registry-level check.</w:t>
      </w:r>
    </w:p>
    <w:p>
      <w:pPr>
        <w:spacing w:after="90" w:line="268"/>
        <w:ind w:left="240"/>
      </w:pPr>
      <w:r>
        <w:rPr>
          <w:rFonts w:ascii="Courier New" w:cs="Courier New" w:eastAsia="Courier New" w:hAnsi="Courier New"/>
          <w:b/>
          <w:bCs/>
          <w:color w:val="1E56A0"/>
          <w:sz w:val="18"/>
          <w:szCs w:val="18"/>
        </w:rPr>
        <w:t xml:space="preserve">HR-5  </w:t>
      </w:r>
      <w:r>
        <w:rPr>
          <w:rFonts w:ascii="Calibri" w:cs="Calibri" w:eastAsia="Calibri" w:hAnsi="Calibri"/>
          <w:sz w:val="20"/>
          <w:szCs w:val="20"/>
        </w:rPr>
        <w:t xml:space="preserve">Objective freeze applies at the point of registration, not at the point of eventual action — a receiving subsystem inherits the frozen scope Northena set at hand-off, and cannot itself widen it. This is the same discipline DAP-18 already applies to commissioned jobs, generalised to every internal hand-off, not only DAP's external-facing ones.</w:t>
      </w:r>
    </w:p>
    <w:p>
      <w:pPr>
        <w:spacing w:after="90" w:line="268"/>
        <w:ind w:left="240"/>
      </w:pPr>
      <w:r>
        <w:rPr>
          <w:rFonts w:ascii="Courier New" w:cs="Courier New" w:eastAsia="Courier New" w:hAnsi="Courier New"/>
          <w:b/>
          <w:bCs/>
          <w:color w:val="1E56A0"/>
          <w:sz w:val="18"/>
          <w:szCs w:val="18"/>
        </w:rPr>
        <w:t xml:space="preserve">HR-6  </w:t>
      </w:r>
      <w:r>
        <w:rPr>
          <w:rFonts w:ascii="Calibri" w:cs="Calibri" w:eastAsia="Calibri" w:hAnsi="Calibri"/>
          <w:sz w:val="20"/>
          <w:szCs w:val="20"/>
        </w:rPr>
        <w:t xml:space="preserve">The registry is queryable by either end of a hand-off, by job, by subsystem pair, or by time range — so “what did we hand this subsystem, and when” has an answer without reconstructing it from each engine's own logs.</w:t>
      </w:r>
    </w:p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2   Failure Posture</w:t>
      </w:r>
    </w:p>
    <w:p>
      <w:pPr>
        <w:spacing w:after="90" w:line="268"/>
        <w:ind w:left="240"/>
      </w:pPr>
      <w:r>
        <w:rPr>
          <w:rFonts w:ascii="Courier New" w:cs="Courier New" w:eastAsia="Courier New" w:hAnsi="Courier New"/>
          <w:b/>
          <w:bCs/>
          <w:color w:val="1E56A0"/>
          <w:sz w:val="18"/>
          <w:szCs w:val="18"/>
        </w:rPr>
        <w:t xml:space="preserve">HR-7  </w:t>
      </w:r>
      <w:r>
        <w:rPr>
          <w:rFonts w:ascii="Calibri" w:cs="Calibri" w:eastAsia="Calibri" w:hAnsi="Calibri"/>
          <w:sz w:val="20"/>
          <w:szCs w:val="20"/>
        </w:rPr>
        <w:t xml:space="preserve">A hand-off registry write that fails leaves the job un-commissioned on the receiving side — fail-closed, consistent with failure_posture_v1's platform default and its own treatment of Mkondo's registry (“neither side treats the hand-off as complete; the attempt is recorded as failed, not silently retried as success”).</w:t>
      </w:r>
    </w:p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3   What This Does Not Change</w:t>
      </w:r>
    </w:p>
    <w:p>
      <w:pPr>
        <w:spacing w:after="130" w:line="276"/>
      </w:pPr>
      <w:r>
        <w:rPr>
          <w:rFonts w:ascii="Calibri" w:cs="Calibri" w:eastAsia="Calibri" w:hAnsi="Calibri"/>
          <w:sz w:val="20"/>
          <w:szCs w:val="20"/>
        </w:rPr>
        <w:t xml:space="preserve">ThinkLab's hand-off to Task Manager is not re-specified — it already meets HR-1 through HR-6 by construction, having been the pattern this document generalises from. No existing behaviour changes for that one crossing; every other crossing now has to meet the same bar it already does.</w:t>
      </w:r>
    </w:p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4   Standing</w:t>
      </w:r>
    </w:p>
    <w:p>
      <w:pPr>
        <w:spacing w:after="130" w:line="276"/>
      </w:pPr>
      <w:r>
        <w:rPr>
          <w:rFonts w:ascii="Calibri" w:cs="Calibri" w:eastAsia="Calibri" w:hAnsi="Calibri"/>
          <w:sz w:val="20"/>
          <w:szCs w:val="20"/>
        </w:rPr>
        <w:t xml:space="preserve">A new subsystem, or a new job class passed between existing ones, registers its hand-off shape here at the point it is built — not discovered later as a second uninstantiated guarantee the way this one was.</w:t>
      </w:r>
    </w:p>
    <w:sectPr>
      <w:footerReference w:type="default" r:id="rId7"/>
      <w:pgSz w:w="12240" w:h="15840" w:orient="portrait"/>
      <w:pgMar w:top="100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EE8" w:sz="4" w:space="4"/>
      </w:pBdr>
      <w:jc w:val="center"/>
    </w:pPr>
    <w:r>
      <w:rPr>
        <w:rFonts w:ascii="Calibri" w:cs="Calibri" w:eastAsia="Calibri" w:hAnsi="Calibri"/>
        <w:i/>
        <w:iCs/>
        <w:color w:val="55606E"/>
        <w:sz w:val="13"/>
        <w:szCs w:val="13"/>
      </w:rPr>
      <w:t xml:space="preserve">Hand-Off Generalisation · handoff_registry_v1 · Draft for owner ratification · Commercial-in-confidence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2026-09-09T08:32:23.813Z</dcterms:created>
  <dcterms:modified xsi:type="dcterms:W3CDTF">2026-09-09T08:32:23.814Z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