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AKKI PLATFORM  ·  CHANGE REGISTER  ·  SECURITY  ·  9 OF 9</w:t>
      </w:r>
    </w:p>
    <w:p>
      <w:pPr>
        <w:spacing w:after="50"/>
      </w:pPr>
      <w:r>
        <w:rPr>
          <w:rFonts w:ascii="Cambria" w:cs="Cambria" w:eastAsia="Cambria" w:hAnsi="Cambria"/>
          <w:b/>
          <w:bCs/>
          <w:color w:val="12294E"/>
          <w:sz w:val="32"/>
          <w:szCs w:val="32"/>
        </w:rPr>
        <w:t xml:space="preserve">Pruning &amp; Unlearning Amendment</w:t>
      </w:r>
    </w:p>
    <w:p>
      <w:pPr>
        <w:pBdr>
          <w:bottom w:val="single" w:color="12294E" w:sz="10" w:space="6"/>
        </w:pBdr>
        <w:spacing w:after="170"/>
      </w:pPr>
      <w:r>
        <w:rPr>
          <w:rFonts w:ascii="Calibri" w:cs="Calibri" w:eastAsia="Calibri" w:hAnsi="Calibri"/>
          <w:color w:val="55606E"/>
          <w:sz w:val="22"/>
          <w:szCs w:val="22"/>
        </w:rPr>
        <w:t xml:space="preserve">2 amendments · 1 new promise · 1 ruling · 9 September 2026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70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dap_backend_spec_v1 (new DAP-37, DAP-38) · Security Assurance Promise Set (S-26)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What this closes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Two questions raised while defining artefact egress that DAP-31/DAP-36 did not answer: can a fine-tuned model be made smaller and cleaner before it leaves, and what happens to an artefact already registered or egressed when the right to a unit it trained on is later withdrawn.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8"/>
                <w:szCs w:val="18"/>
              </w:rPr>
              <w:t xml:space="preserve">Honesty condition stated up front</w:t>
            </w:r>
          </w:p>
        </w:tc>
        <w:tc>
          <w:tcPr>
            <w:tcW w:type="dxa" w:w="70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Pruning reduces memorisation empirically; it does not prove its absence. DP-SGD (DAP-36) is the guarantee; pruning is a second reduction on top of it. This amendment does not present pruning as a substitute for differential privacy, and DAP-37 says so explicitly.</w:t>
            </w:r>
          </w:p>
        </w:tc>
      </w:tr>
    </w:tbl>
    <w:p>
      <w:pPr>
        <w:pBdr>
          <w:bottom w:val="single" w:color="D7DEE8" w:sz="6" w:space="6"/>
        </w:pBdr>
        <w:spacing w:after="100" w:before="280"/>
      </w:pPr>
      <w:r>
        <w:rPr>
          <w:rFonts w:ascii="Cambria" w:cs="Cambria" w:eastAsia="Cambria" w:hAnsi="Cambria"/>
          <w:b/>
          <w:bCs/>
          <w:color w:val="1E56A0"/>
          <w:sz w:val="23"/>
          <w:szCs w:val="23"/>
        </w:rPr>
        <w:t xml:space="preserve">T-3   </w:t>
      </w:r>
      <w:r>
        <w:rPr>
          <w:rFonts w:ascii="Cambria" w:cs="Cambria" w:eastAsia="Cambria" w:hAnsi="Cambria"/>
          <w:b/>
          <w:bCs/>
          <w:color w:val="12294E"/>
          <w:sz w:val="23"/>
          <w:szCs w:val="23"/>
        </w:rPr>
        <w:t xml:space="preserve">Artefact Pruning Before Egress</w:t>
      </w:r>
    </w:p>
    <w:p>
      <w:pPr>
        <w:spacing w:after="80" w:line="266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TARGET  </w:t>
      </w:r>
      <w:r>
        <w:rPr>
          <w:rFonts w:ascii="Calibri" w:cs="Calibri" w:eastAsia="Calibri" w:hAnsi="Calibri"/>
          <w:sz w:val="19"/>
          <w:szCs w:val="19"/>
        </w:rPr>
        <w:t xml:space="preserve">dap_backend_spec_v1 — new DAP-37, extending DAP-31 and DAP-36.</w:t>
      </w:r>
    </w:p>
    <w:p>
      <w:pPr>
        <w:spacing w:after="80" w:line="266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CURRENT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DAP-31 gates egress on a reproduction probe. DAP-36 trains with differential privacy by default. Neither addresses reducing an artefact's size or memorisation surface between acceptance and egress — an artefact either passes DAP-31 as trained, or it doesn't.</w:t>
      </w:r>
    </w:p>
    <w:p>
      <w:pPr>
        <w:spacing w:after="50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AMENDED — normative text</w:t>
      </w:r>
    </w:p>
    <w:p>
      <w:pPr>
        <w:spacing w:after="70" w:line="266"/>
        <w:ind w:left="420"/>
      </w:pPr>
      <w:r>
        <w:rPr>
          <w:rFonts w:ascii="Courier New" w:cs="Courier New" w:eastAsia="Courier New" w:hAnsi="Courier New"/>
          <w:b/>
          <w:bCs/>
          <w:color w:val="12294E"/>
          <w:sz w:val="18"/>
          <w:szCs w:val="18"/>
        </w:rPr>
        <w:t xml:space="preserve">DAP-37  </w:t>
      </w:r>
      <w:r>
        <w:rPr>
          <w:rFonts w:ascii="Calibri" w:cs="Calibri" w:eastAsia="Calibri" w:hAnsi="Calibri"/>
          <w:sz w:val="19"/>
          <w:szCs w:val="19"/>
        </w:rPr>
        <w:t xml:space="preserve">A fine-tuned artefact MAY be pruned — magnitude pruning or an equivalent structural reduction — between MOAC acceptance and DAP-31's distance gate, as a ruled optional step. Pruning is a second, empirical reduction in memorisation surface on top of DAP-36's differentially private training; it is never a substitute for it, and this document does not present it as one. A pruned artefact MUST re-pass MOAC's acceptance criteria — pruning can degrade performance below the accepted bar, and acceptance is re-evaluated, not assumed to survive the change. A pruned artefact's hash differs from its pre-pruning hash; it is a new artefact for every purpose DAP-10 and DAP-31 govern, including a fresh pass through the distance gate at the ruled threshold. Pruning ratio and method are ruled values, ratified alongside DAP-31's own probe parameters.</w:t>
      </w:r>
    </w:p>
    <w:p>
      <w:pPr>
        <w:spacing w:after="80" w:line="266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MECHANISM  </w:t>
      </w:r>
      <w:r>
        <w:rPr>
          <w:rFonts w:ascii="Calibri" w:cs="Calibri" w:eastAsia="Calibri" w:hAnsi="Calibri"/>
          <w:sz w:val="19"/>
          <w:szCs w:val="19"/>
        </w:rPr>
        <w:t xml:space="preserve">Magnitude pruning removes the weights contributing least to model output, which empirically also reduces the model's capacity to have memorised specific training examples — a smaller, sparser artefact has less room to encode any one unit's content precisely. This is a capacity reduction, not a guarantee; DAP-31's probe, re-run on the pruned artefact, is what actually confirms the result.</w:t>
      </w:r>
    </w:p>
    <w:p>
      <w:pPr>
        <w:spacing w:after="80" w:line="266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DERIVATION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Han, Mao, and Dally, “Deep Compression” (2015) — magnitude pruning and its empirical effect on memorisation capacity. DAP-31 (the gate this feeds back through). DAP-36 (the guarantee this does not replace).</w:t>
      </w:r>
    </w:p>
    <w:p>
      <w:pPr>
        <w:spacing w:after="80" w:line="266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PRINCIPLE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 smaller artefact is not a safer artefact by assertion. It is a candidate for re-testing, and DAP-31 is what turns the candidacy into a fact.</w:t>
      </w:r>
    </w:p>
    <w:p>
      <w:pPr>
        <w:pBdr>
          <w:bottom w:val="single" w:color="D7DEE8" w:sz="6" w:space="6"/>
        </w:pBdr>
        <w:spacing w:after="100" w:before="280"/>
      </w:pPr>
      <w:r>
        <w:rPr>
          <w:rFonts w:ascii="Cambria" w:cs="Cambria" w:eastAsia="Cambria" w:hAnsi="Cambria"/>
          <w:b/>
          <w:bCs/>
          <w:color w:val="1E56A0"/>
          <w:sz w:val="23"/>
          <w:szCs w:val="23"/>
        </w:rPr>
        <w:t xml:space="preserve">T-4   </w:t>
      </w:r>
      <w:r>
        <w:rPr>
          <w:rFonts w:ascii="Cambria" w:cs="Cambria" w:eastAsia="Cambria" w:hAnsi="Cambria"/>
          <w:b/>
          <w:bCs/>
          <w:color w:val="12294E"/>
          <w:sz w:val="23"/>
          <w:szCs w:val="23"/>
        </w:rPr>
        <w:t xml:space="preserve">Unlearning on Rights Withdrawal</w:t>
      </w:r>
    </w:p>
    <w:p>
      <w:pPr>
        <w:spacing w:after="80" w:line="266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TARGET  </w:t>
      </w:r>
      <w:r>
        <w:rPr>
          <w:rFonts w:ascii="Calibri" w:cs="Calibri" w:eastAsia="Calibri" w:hAnsi="Calibri"/>
          <w:sz w:val="19"/>
          <w:szCs w:val="19"/>
        </w:rPr>
        <w:t xml:space="preserve">dap_backend_spec_v1 — new DAP-38. Rules Service (registry query, RBM-20) as the mechanism that makes affected artefacts findable.</w:t>
      </w:r>
    </w:p>
    <w:p>
      <w:pPr>
        <w:spacing w:after="80" w:line="266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CURRENT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 requirement addresses what happens when a contributor withdraws consent, or a unit's licence expires, after an artefact trained on that unit has already been registered or has already egressed under DAP-10. DAP-31 gates what leaves; nothing governs what happens to what already left.</w:t>
      </w:r>
    </w:p>
    <w:p>
      <w:pPr>
        <w:spacing w:after="50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AMENDED — normative text</w:t>
      </w:r>
    </w:p>
    <w:p>
      <w:pPr>
        <w:spacing w:after="70" w:line="266"/>
        <w:ind w:left="420"/>
      </w:pPr>
      <w:r>
        <w:rPr>
          <w:rFonts w:ascii="Courier New" w:cs="Courier New" w:eastAsia="Courier New" w:hAnsi="Courier New"/>
          <w:b/>
          <w:bCs/>
          <w:color w:val="12294E"/>
          <w:sz w:val="18"/>
          <w:szCs w:val="18"/>
        </w:rPr>
        <w:t xml:space="preserve">DAP-38  </w:t>
      </w:r>
      <w:r>
        <w:rPr>
          <w:rFonts w:ascii="Calibri" w:cs="Calibri" w:eastAsia="Calibri" w:hAnsi="Calibri"/>
          <w:sz w:val="19"/>
          <w:szCs w:val="19"/>
        </w:rPr>
        <w:t xml:space="preserve">When a unit's rights status changes to withdrawn — consent revoked, licence expired, or an equivalent event — every artefact whose training manifest cites that unit is identified via the registry (a query, per RBM-20's design, not a search) and is either re-derived without the unit or recalled. Re-derivation trains a replacement artefact excluding the withdrawn unit, using the same run configuration recorded in the original training manifest, and passes it through DAP-31 and MOAC as a new artefact before it replaces the original in the registry. Recall withdraws the original artefact's registry entry and, where the artefact was already delivered under DAP-10, notifies the receiving party that the artefact's rights basis has changed. A unit's contribution to the estate release budget (DAP-35) is NOT refunded on unlearning — the privacy loss from the original release already occurred; unlearning restores the artefact's cleanliness going forward, not the budget already spent.</w:t>
      </w:r>
    </w:p>
    <w:p>
      <w:pPr>
        <w:spacing w:after="80" w:line="266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MECHANISM  </w:t>
      </w:r>
      <w:r>
        <w:rPr>
          <w:rFonts w:ascii="Calibri" w:cs="Calibri" w:eastAsia="Calibri" w:hAnsi="Calibri"/>
          <w:sz w:val="19"/>
          <w:szCs w:val="19"/>
        </w:rPr>
        <w:t xml:space="preserve">Sharded, isolated training (SISA — Sharded, Isolated, Sliced, Aggregated) makes re-derivation tractable by limiting retraining to the shard containing the withdrawn unit rather than the whole model; DAP-36's DP-SGD defaults make the retrained shard's own privacy accounting straightforward, since the accountant already runs per training job. Where SISA-style sharding was not used for the original run, re-derivation means a full retrain, and §5 R-12 rules whether that is mandatory or whether recall alone suffices in that case.</w:t>
      </w:r>
    </w:p>
    <w:p>
      <w:pPr>
        <w:spacing w:after="80" w:line="266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DERIVATION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Bourtoule et al., “Machine Unlearning” — SISA (2021). Guo et al., “Certified Data Removal from Machine Learning Models” (2020) — the formal standard re-derivation approximates. Kenya Data Protection Act 2019 s.40 (erasure). GDPR Art. 17 (right to erasure). CA1-N3, already ruled: raw source and five-ring units get real erasure; a trained model is flagged via A17.15's rights-lapse mechanism rather than untrained on demand — DAP-38 is that same discipline's extension to artefacts DAP now governs.</w:t>
      </w:r>
    </w:p>
    <w:p>
      <w:pPr>
        <w:spacing w:after="80" w:line="266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PRINCIPLE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The erasure right does not stop at the database. A model that carries a unit's influence is still carrying it, whatever the registry says about the source record.</w:t>
      </w:r>
    </w:p>
    <w:p>
      <w:pPr>
        <w:pBdr>
          <w:left w:val="single" w:color="8A6D1A" w:sz="12" w:space="6"/>
        </w:pBdr>
        <w:shd w:fill="FBF6E6" w:val="clear"/>
        <w:spacing w:after="130" w:before="60"/>
        <w:ind w:left="110" w:right="110"/>
      </w:pPr>
      <w:r>
        <w:rPr>
          <w:rFonts w:ascii="Calibri" w:cs="Calibri" w:eastAsia="Calibri" w:hAnsi="Calibri"/>
          <w:i/>
          <w:iCs/>
          <w:color w:val="5A4A10"/>
          <w:sz w:val="19"/>
          <w:szCs w:val="19"/>
        </w:rPr>
        <w:t xml:space="preserve">This generalises CA1-N3's model-flagging answer, already ruled for the platform's own trained models, to every artefact DAP-9/DAP-10 admits an external party's model into or egresses — not a new principle, an extension of one already decided.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3   New Promise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Promise</w:t>
            </w:r>
          </w:p>
        </w:tc>
        <w:tc>
          <w:tcPr>
            <w:tcW w:type="dxa" w:w="5260"/>
            <w:shd w:fill="12294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Rests on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S-26</w:t>
            </w:r>
          </w:p>
        </w:tc>
        <w:tc>
          <w:tcPr>
            <w:tcW w:type="dxa" w:w="320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The system will remove a unit's influence from every artefact that carried it when the right to that unit ends — by re-derivation or recall, findable by registry query, with the release budget's prior consumption left unrefunded.</w:t>
            </w:r>
          </w:p>
        </w:tc>
        <w:tc>
          <w:tcPr>
            <w:tcW w:type="dxa" w:w="5260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T-3, T-4 (DAP-37, DAP-38). CA1-N3. SISA; certified removal; DPA s.40; GDPR Art. 17.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4   Ruling</w:t>
      </w:r>
    </w:p>
    <w:p>
      <w:pPr>
        <w:spacing w:after="80" w:line="266"/>
        <w:ind w:left="200"/>
      </w:pPr>
      <w:r>
        <w:rPr>
          <w:rFonts w:ascii="Courier New" w:cs="Courier New" w:eastAsia="Courier New" w:hAnsi="Courier New"/>
          <w:b/>
          <w:bCs/>
          <w:color w:val="1E56A0"/>
          <w:sz w:val="17"/>
          <w:szCs w:val="17"/>
        </w:rPr>
        <w:t xml:space="preserve">R-12  </w:t>
      </w:r>
      <w:r>
        <w:rPr>
          <w:rFonts w:ascii="Calibri" w:cs="Calibri" w:eastAsia="Calibri" w:hAnsi="Calibri"/>
          <w:sz w:val="19"/>
          <w:szCs w:val="19"/>
        </w:rPr>
        <w:t xml:space="preserve">When the original training run was not sharded for isolated retraining, is re-derivation mandatory regardless of cost, or does recall alone satisfy DAP-38 where re-derivation is uneconomic? Neither this document nor CA1-N3 answers this; it is a genuine owner decision, not a technical one.</w:t>
      </w:r>
    </w:p>
    <w:p>
      <w:pPr>
        <w:pBdr>
          <w:left w:val="single" w:color="8A6D1A" w:sz="12" w:space="6"/>
        </w:pBdr>
        <w:shd w:fill="FBF6E6" w:val="clear"/>
        <w:spacing w:after="130" w:before="60"/>
        <w:ind w:left="110" w:right="110"/>
      </w:pPr>
      <w:r>
        <w:rPr>
          <w:rFonts w:ascii="Calibri" w:cs="Calibri" w:eastAsia="Calibri" w:hAnsi="Calibri"/>
          <w:i/>
          <w:iCs/>
          <w:color w:val="5A4A10"/>
          <w:sz w:val="19"/>
          <w:szCs w:val="19"/>
        </w:rPr>
        <w:t xml:space="preserve">Nothing above is blocked by R-12. Where sharding was used, re-derivation is the norm and inexpensive enough that the question doesn't arise. R-12 matters only for the harder case, and DAP-38's recall path is fully specified either way — it is available now, pending only the ruling on when it's sufficient versus when re-derivation is required.</w:t>
      </w:r>
    </w:p>
    <w:sectPr>
      <w:footerReference w:type="default" r:id="rId7"/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8" w:sz="4" w:space="4"/>
      </w:pBdr>
      <w:jc w:val="center"/>
    </w:pPr>
    <w:r>
      <w:rPr>
        <w:rFonts w:ascii="Calibri" w:cs="Calibri" w:eastAsia="Calibri" w:hAnsi="Calibri"/>
        <w:i/>
        <w:iCs/>
        <w:color w:val="55606E"/>
        <w:sz w:val="13"/>
        <w:szCs w:val="13"/>
      </w:rPr>
      <w:t xml:space="preserve">Pruning &amp; Unlearning Amendment · 9 September 2026 · Commercial-in-confidence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2026-09-09T08:34:41.005Z</dcterms:created>
  <dcterms:modified xsi:type="dcterms:W3CDTF">2026-09-09T08:34:41.005Z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