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AKKI PLATFORM  ·  ENGINE SPECIFICATION  ·  2 OF 9</w:t>
      </w:r>
    </w:p>
    <w:p>
      <w:pPr>
        <w:spacing w:after="50"/>
      </w:pPr>
      <w:r>
        <w:rPr>
          <w:rFonts w:ascii="Cambria" w:cs="Cambria" w:eastAsia="Cambria" w:hAnsi="Cambria"/>
          <w:b/>
          <w:bCs/>
          <w:color w:val="12294E"/>
          <w:sz w:val="34"/>
          <w:szCs w:val="34"/>
        </w:rPr>
        <w:t xml:space="preserve">Security Architecture Description</w:t>
      </w:r>
    </w:p>
    <w:p>
      <w:pPr>
        <w:pBdr>
          <w:bottom w:val="single" w:color="12294E" w:sz="10" w:space="6"/>
        </w:pBdr>
        <w:spacing w:after="170"/>
      </w:pPr>
      <w:r>
        <w:rPr>
          <w:rFonts w:ascii="Calibri" w:cs="Calibri" w:eastAsia="Calibri" w:hAnsi="Calibri"/>
          <w:color w:val="55606E"/>
          <w:sz w:val="22"/>
          <w:szCs w:val="22"/>
        </w:rPr>
        <w:t xml:space="preserve">security_architecture_v1 — Draft for owner ratification · Closes Document 0 G-6</w:t>
      </w:r>
    </w:p>
    <w:tbl>
      <w:tblPr>
        <w:tblW w:type="dxa" w:w="936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answered</w:t>
            </w:r>
          </w:p>
        </w:tc>
        <w:tc>
          <w:tcPr>
            <w:tcW w:type="dxa" w:w="706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Common Criteria ADV_ARC.1: for every reference monitor, demonstrate non-bypassability, self-protection, domain separation, and secure initialisation — as a description, since these properties “largely have no directly observable interface” (the CC v2→v3.1 transition rationale, verified earlier this programme).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Scope</w:t>
            </w:r>
          </w:p>
        </w:tc>
        <w:tc>
          <w:tcPr>
            <w:tcW w:type="dxa" w:w="70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Every candidate reference monitor named in tcb_enumeration_v1: SyniSense's chokepoint, the Watch's Mkono, MOAC, the DAP-31 distance gate, the DAP-32 admission probe, and QA-2's format gate. Each treated separately — meeting the properties for one does not transfer to another.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Method</w:t>
            </w:r>
          </w:p>
        </w:tc>
        <w:tc>
          <w:tcPr>
            <w:tcW w:type="dxa" w:w="70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Each property is demonstrated by citation where canon text already establishes it, and specified fresh where it does not. Fresh specification is marked as such — this document does not claim as existing what it is proposing for the first time.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Date</w:t>
            </w:r>
          </w:p>
        </w:tc>
        <w:tc>
          <w:tcPr>
            <w:tcW w:type="dxa" w:w="70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9 September 2026</w:t>
            </w:r>
          </w:p>
        </w:tc>
      </w:tr>
    </w:tbl>
    <w:p>
      <w:pPr>
        <w:pStyle w:val="Heading1"/>
        <w:pBdr>
          <w:bottom w:val="single" w:color="D7DEE8" w:sz="6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12294E"/>
          <w:sz w:val="25"/>
          <w:szCs w:val="25"/>
        </w:rPr>
        <w:t xml:space="preserve">1   SyniSense — The Chokepoint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56A0"/>
          <w:sz w:val="21"/>
          <w:szCs w:val="21"/>
        </w:rPr>
        <w:t xml:space="preserve">1.1. The Chokepoint</w:t>
      </w:r>
    </w:p>
    <w:tbl>
      <w:tblPr>
        <w:tblW w:type="dxa" w:w="896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2200"/>
        <w:gridCol w:w="6760"/>
      </w:tblGrid>
      <w:tr>
        <w:trPr>
          <w:tblHeader/>
        </w:trPr>
        <w:tc>
          <w:tcPr>
            <w:tcW w:type="dxa" w:w="220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76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Demonstrated as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Non-bypassability</w:t>
            </w:r>
          </w:p>
        </w:tc>
        <w:tc>
          <w:tcPr>
            <w:tcW w:type="dxa" w:w="67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Exactly one function may invoke the external model client; a negative-scan build test fails the build if any second path is introduced. Demonstrated at build time, on every build, not asserted once.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Self-protection</w:t>
            </w:r>
          </w:p>
        </w:tc>
        <w:tc>
          <w:tcPr>
            <w:tcW w:type="dxa" w:w="67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Custody-sequence logic and the closed-network allowlist are held in configuration outside the reach of any subject the crossing mediates. Runtime integrity verification of the loaded policy is not yet specified — the one property this monitor does not yet fully meet.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Domain separation</w:t>
            </w:r>
          </w:p>
        </w:tc>
        <w:tc>
          <w:tcPr>
            <w:tcW w:type="dxa" w:w="67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chokepoint operates entirely within SyniSense's own boundary; it does not reach into Solva, Targeta, or Mtafiti to make its decision.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Secure initialisation</w:t>
            </w:r>
          </w:p>
        </w:tc>
        <w:tc>
          <w:tcPr>
            <w:tcW w:type="dxa" w:w="67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closed outbound network and allowlist are build-time invariants, present before the component accepts its first request — there is no partially-initialised state in which the chokepoint runs without them.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Verdict: </w:t>
      </w:r>
      <w:r>
        <w:rPr>
          <w:rFonts w:ascii="Calibri" w:cs="Calibri" w:eastAsia="Calibri" w:hAnsi="Calibri"/>
          <w:b/>
          <w:bCs/>
          <w:color w:val="8A6D1A"/>
          <w:sz w:val="19"/>
          <w:szCs w:val="19"/>
        </w:rPr>
        <w:t xml:space="preserve">Three of four fully met. Self-protection is partial — build-time gates exist; runtime tamper-resistance for the loaded policy is proposed below, not yet built.</w:t>
      </w:r>
    </w:p>
    <w:p>
      <w:pPr>
        <w:spacing w:after="90" w:line="268"/>
        <w:ind w:left="240"/>
      </w:pPr>
      <w:r>
        <w:rPr>
          <w:rFonts w:ascii="Courier New" w:cs="Courier New" w:eastAsia="Courier New" w:hAnsi="Courier New"/>
          <w:b/>
          <w:bCs/>
          <w:color w:val="1E56A0"/>
          <w:sz w:val="18"/>
          <w:szCs w:val="18"/>
        </w:rPr>
        <w:t xml:space="preserve">SEC-1  </w:t>
      </w:r>
      <w:r>
        <w:rPr>
          <w:rFonts w:ascii="Calibri" w:cs="Calibri" w:eastAsia="Calibri" w:hAnsi="Calibri"/>
          <w:sz w:val="20"/>
          <w:szCs w:val="20"/>
        </w:rPr>
        <w:t xml:space="preserve">SyniSense's custody-sequence policy and network allowlist MUST be integrity-verified at load — a signature or hash comparison against the value recorded in the Rule Registry — so that a runtime modification is detected, not merely prevented by the absence of an edit path.</w:t>
      </w:r>
      <w:r>
        <w:rPr>
          <w:rFonts w:ascii="Calibri" w:cs="Calibri" w:eastAsia="Calibri" w:hAnsi="Calibri"/>
          <w:i/>
          <w:iCs/>
          <w:color w:val="8A6D1A"/>
          <w:sz w:val="18"/>
          <w:szCs w:val="18"/>
        </w:rPr>
        <w:t xml:space="preserve">  [Closes the remaining gap in 1.1]</w:t>
      </w:r>
    </w:p>
    <w:p>
      <w:pPr>
        <w:pStyle w:val="Heading1"/>
        <w:pBdr>
          <w:bottom w:val="single" w:color="D7DEE8" w:sz="6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12294E"/>
          <w:sz w:val="25"/>
          <w:szCs w:val="25"/>
        </w:rPr>
        <w:t xml:space="preserve">2   The Watch — Mkono (Response)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56A0"/>
          <w:sz w:val="21"/>
          <w:szCs w:val="21"/>
        </w:rPr>
        <w:t xml:space="preserve">2.1. Mkono, the deterministic response half</w:t>
      </w:r>
    </w:p>
    <w:tbl>
      <w:tblPr>
        <w:tblW w:type="dxa" w:w="896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2200"/>
        <w:gridCol w:w="6760"/>
      </w:tblGrid>
      <w:tr>
        <w:trPr>
          <w:tblHeader/>
        </w:trPr>
        <w:tc>
          <w:tcPr>
            <w:tcW w:type="dxa" w:w="220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76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Demonstrated as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Non-bypassability</w:t>
            </w:r>
          </w:p>
        </w:tc>
        <w:tc>
          <w:tcPr>
            <w:tcW w:type="dxa" w:w="67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“Totality of sight” (A3, verified verbatim): no path reaches the estate or a model outside the Watch's observed surface, held by two independent proofs, static and runtime. This is Mkono's mediation guarantee — it acts on everything Macho can see, and Macho sees everything.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Self-protection</w:t>
            </w:r>
          </w:p>
        </w:tc>
        <w:tc>
          <w:tcPr>
            <w:tcW w:type="dxa" w:w="67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Mkono “contains no model, no content parsing, no reasoning — a deterministic mapping from verdict properties to actions, small enough to verify exhaustively” (A2, verified verbatim). It reaches behind the verdict seam for nothing; there is no surface for a mediated party to tamper with beyond the seam itself.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Domain separation</w:t>
            </w:r>
          </w:p>
        </w:tc>
        <w:tc>
          <w:tcPr>
            <w:tcW w:type="dxa" w:w="67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Mkono and Macho “meet at exactly one interface: a signed, replayable verdict” (A2). The hand never inspects raw behaviour. This is domain separation stated in the source text, not inferred.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Secure initialisation</w:t>
            </w:r>
          </w:p>
        </w:tc>
        <w:tc>
          <w:tcPr>
            <w:tcW w:type="dxa" w:w="67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Watch's own ceremony — slowest countdown, external witness — governs any change to Mkono's policy tables (A5.8, A5.11), which is the initialisation discipline for a component whose “policy” is closer to configuration than code.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Verdict: </w:t>
      </w:r>
      <w:r>
        <w:rPr>
          <w:rFonts w:ascii="Calibri" w:cs="Calibri" w:eastAsia="Calibri" w:hAnsi="Calibri"/>
          <w:b/>
          <w:bCs/>
          <w:color w:val="2E6B3F"/>
          <w:sz w:val="19"/>
          <w:szCs w:val="19"/>
        </w:rPr>
        <w:t xml:space="preserve">All four met, directly from canon text. The strongest-evidenced monitor on the platform after the chokepoint.</w:t>
      </w:r>
    </w:p>
    <w:p>
      <w:pPr>
        <w:pStyle w:val="Heading1"/>
        <w:pBdr>
          <w:bottom w:val="single" w:color="D7DEE8" w:sz="6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12294E"/>
          <w:sz w:val="25"/>
          <w:szCs w:val="25"/>
        </w:rPr>
        <w:t xml:space="preserve">3   The Watch — Grey Mirror (Macho)</w:t>
      </w:r>
    </w:p>
    <w:p>
      <w:pPr>
        <w:spacing w:after="130" w:line="276"/>
      </w:pPr>
      <w:r>
        <w:rPr>
          <w:rFonts w:ascii="Calibri" w:cs="Calibri" w:eastAsia="Calibri" w:hAnsi="Calibri"/>
          <w:sz w:val="20"/>
          <w:szCs w:val="20"/>
        </w:rPr>
        <w:t xml:space="preserve">Grey Mirror is not itself evaluated as a reference monitor. Per tcb_enumeration_v1, Macho is learned and holds no decision authority — “it cannot block, throttle, mark, reroute, or notify. Its sole output is a verdict” (A2, verified verbatim). ADV_ARC.1 applies to components that mediate and decide; Macho detects and proposes. Its self-protection is covered separately, under C3 below, as the subject the witness watches — not as a monitor in its own right.</w:t>
      </w:r>
    </w:p>
    <w:p>
      <w:pPr>
        <w:pStyle w:val="Heading1"/>
        <w:pBdr>
          <w:bottom w:val="single" w:color="D7DEE8" w:sz="6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12294E"/>
          <w:sz w:val="25"/>
          <w:szCs w:val="25"/>
        </w:rPr>
        <w:t xml:space="preserve">4   The External Witness (C3)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56A0"/>
          <w:sz w:val="21"/>
          <w:szCs w:val="21"/>
        </w:rPr>
        <w:t xml:space="preserve">4.1. The witness — the mechanism that makes 2.1's self-protection checkable</w:t>
      </w:r>
    </w:p>
    <w:tbl>
      <w:tblPr>
        <w:tblW w:type="dxa" w:w="896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2200"/>
        <w:gridCol w:w="6760"/>
      </w:tblGrid>
      <w:tr>
        <w:trPr>
          <w:tblHeader/>
        </w:trPr>
        <w:tc>
          <w:tcPr>
            <w:tcW w:type="dxa" w:w="220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76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Demonstrated as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Non-bypassability</w:t>
            </w:r>
          </w:p>
        </w:tc>
        <w:tc>
          <w:tcPr>
            <w:tcW w:type="dxa" w:w="67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Not applicable in the usual sense — the witness doesn't mediate operations. Its role is to make the Watch's own self-protection an ongoing measurement rather than a one-time claim.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Self-protection</w:t>
            </w:r>
          </w:p>
        </w:tc>
        <w:tc>
          <w:tcPr>
            <w:tcW w:type="dxa" w:w="67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“A watchdog that alarms on Watch silence holds no Watch credentials and lives in neither authority's deployment; a standing break-in test attempts, on schedule, to modify the Watch's own records with the Watch's own production credentials — and must fail” (C3, verified verbatim). This is self-protection demonstrated as a repeated test, not asserted once at design time.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Domain separation</w:t>
            </w:r>
          </w:p>
        </w:tc>
        <w:tc>
          <w:tcPr>
            <w:tcW w:type="dxa" w:w="67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Explicitly “belongs to neither authority” — domain separation is the witness's entire purpose.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Secure initialisation</w:t>
            </w:r>
          </w:p>
        </w:tc>
        <w:tc>
          <w:tcPr>
            <w:tcW w:type="dxa" w:w="67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break-in test runs “on schedule” — its own cadence is a ruled value (Security Amendments §5 R-8 family; not yet set).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Verdict: </w:t>
      </w:r>
      <w:r>
        <w:rPr>
          <w:rFonts w:ascii="Calibri" w:cs="Calibri" w:eastAsia="Calibri" w:hAnsi="Calibri"/>
          <w:b/>
          <w:bCs/>
          <w:color w:val="2E6B3F"/>
          <w:sz w:val="19"/>
          <w:szCs w:val="19"/>
        </w:rPr>
        <w:t xml:space="preserve">Structurally sound and directly evidenced. The one open item is the schedule's actual cadence — a ruling, not a design gap.</w:t>
      </w:r>
    </w:p>
    <w:p>
      <w:pPr>
        <w:pStyle w:val="Heading1"/>
        <w:pBdr>
          <w:bottom w:val="single" w:color="D7DEE8" w:sz="6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12294E"/>
          <w:sz w:val="25"/>
          <w:szCs w:val="25"/>
        </w:rPr>
        <w:t xml:space="preserve">5   MOAC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56A0"/>
          <w:sz w:val="21"/>
          <w:szCs w:val="21"/>
        </w:rPr>
        <w:t xml:space="preserve">5.1. The acceptance gate</w:t>
      </w:r>
    </w:p>
    <w:tbl>
      <w:tblPr>
        <w:tblW w:type="dxa" w:w="896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2200"/>
        <w:gridCol w:w="6760"/>
      </w:tblGrid>
      <w:tr>
        <w:trPr>
          <w:tblHeader/>
        </w:trPr>
        <w:tc>
          <w:tcPr>
            <w:tcW w:type="dxa" w:w="220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76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Demonstrated as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Non-bypassability</w:t>
            </w:r>
          </w:p>
        </w:tc>
        <w:tc>
          <w:tcPr>
            <w:tcW w:type="dxa" w:w="67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“Every criterion or no service” (Promise #22), no human in the acceptance path. Every path to a trained result accepted as usable is required to pass through it — asserted in doctrine; not yet demonstrated path-by-path the way the chokepoint's negative-scan test demonstrates SyniSense's.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Self-protection</w:t>
            </w:r>
          </w:p>
        </w:tc>
        <w:tc>
          <w:tcPr>
            <w:tcW w:type="dxa" w:w="67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Not specified anywhere in canon before this document. This is the gap Document 0 named and this document now closes with a proposal, not a citation.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Domain separation</w:t>
            </w:r>
          </w:p>
        </w:tc>
        <w:tc>
          <w:tcPr>
            <w:tcW w:type="dxa" w:w="67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Not specified. Proposed below alongside self-protection, since the two are naturally answered together for this monitor.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Secure initialisation</w:t>
            </w:r>
          </w:p>
        </w:tc>
        <w:tc>
          <w:tcPr>
            <w:tcW w:type="dxa" w:w="67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Not specified. Proposed below.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Verdict: </w:t>
      </w:r>
      <w:r>
        <w:rPr>
          <w:rFonts w:ascii="Calibri" w:cs="Calibri" w:eastAsia="Calibri" w:hAnsi="Calibri"/>
          <w:b/>
          <w:bCs/>
          <w:color w:val="8A2A2A"/>
          <w:sz w:val="19"/>
          <w:szCs w:val="19"/>
        </w:rPr>
        <w:t xml:space="preserve">Non-bypassability asserted, not demonstrated. The other three properties do not exist in canon and are specified fresh immediately below.</w:t>
      </w:r>
    </w:p>
    <w:p>
      <w:pPr>
        <w:spacing w:after="90" w:line="268"/>
        <w:ind w:left="240"/>
      </w:pPr>
      <w:r>
        <w:rPr>
          <w:rFonts w:ascii="Courier New" w:cs="Courier New" w:eastAsia="Courier New" w:hAnsi="Courier New"/>
          <w:b/>
          <w:bCs/>
          <w:color w:val="1E56A0"/>
          <w:sz w:val="18"/>
          <w:szCs w:val="18"/>
        </w:rPr>
        <w:t xml:space="preserve">SEC-2  </w:t>
      </w:r>
      <w:r>
        <w:rPr>
          <w:rFonts w:ascii="Calibri" w:cs="Calibri" w:eastAsia="Calibri" w:hAnsi="Calibri"/>
          <w:sz w:val="20"/>
          <w:szCs w:val="20"/>
        </w:rPr>
        <w:t xml:space="preserve">MOAC's acceptance criteria MUST be held in versioned, Rules-Service-governed configuration — the same discipline as SyniSense's custody policy — with integrity verified at load. No criterion is editable by the run it measures, by construction rather than by convention.</w:t>
      </w:r>
      <w:r>
        <w:rPr>
          <w:rFonts w:ascii="Calibri" w:cs="Calibri" w:eastAsia="Calibri" w:hAnsi="Calibri"/>
          <w:i/>
          <w:iCs/>
          <w:color w:val="8A6D1A"/>
          <w:sz w:val="18"/>
          <w:szCs w:val="18"/>
        </w:rPr>
        <w:t xml:space="preserve">  [Self-protection]</w:t>
      </w:r>
    </w:p>
    <w:p>
      <w:pPr>
        <w:spacing w:after="90" w:line="268"/>
        <w:ind w:left="240"/>
      </w:pPr>
      <w:r>
        <w:rPr>
          <w:rFonts w:ascii="Courier New" w:cs="Courier New" w:eastAsia="Courier New" w:hAnsi="Courier New"/>
          <w:b/>
          <w:bCs/>
          <w:color w:val="1E56A0"/>
          <w:sz w:val="18"/>
          <w:szCs w:val="18"/>
        </w:rPr>
        <w:t xml:space="preserve">SEC-3  </w:t>
      </w:r>
      <w:r>
        <w:rPr>
          <w:rFonts w:ascii="Calibri" w:cs="Calibri" w:eastAsia="Calibri" w:hAnsi="Calibri"/>
          <w:sz w:val="20"/>
          <w:szCs w:val="20"/>
        </w:rPr>
        <w:t xml:space="preserve">MOAC operates entirely within Targeta's boundary and reads only the run artefacts Targeta produces. It does not query Solva, Mtafiti, or any other engine to reach its decision.</w:t>
      </w:r>
      <w:r>
        <w:rPr>
          <w:rFonts w:ascii="Calibri" w:cs="Calibri" w:eastAsia="Calibri" w:hAnsi="Calibri"/>
          <w:i/>
          <w:iCs/>
          <w:color w:val="8A6D1A"/>
          <w:sz w:val="18"/>
          <w:szCs w:val="18"/>
        </w:rPr>
        <w:t xml:space="preserve">  [Domain separation]</w:t>
      </w:r>
    </w:p>
    <w:p>
      <w:pPr>
        <w:spacing w:after="90" w:line="268"/>
        <w:ind w:left="240"/>
      </w:pPr>
      <w:r>
        <w:rPr>
          <w:rFonts w:ascii="Courier New" w:cs="Courier New" w:eastAsia="Courier New" w:hAnsi="Courier New"/>
          <w:b/>
          <w:bCs/>
          <w:color w:val="1E56A0"/>
          <w:sz w:val="18"/>
          <w:szCs w:val="18"/>
        </w:rPr>
        <w:t xml:space="preserve">SEC-4  </w:t>
      </w:r>
      <w:r>
        <w:rPr>
          <w:rFonts w:ascii="Calibri" w:cs="Calibri" w:eastAsia="Calibri" w:hAnsi="Calibri"/>
          <w:sz w:val="20"/>
          <w:szCs w:val="20"/>
        </w:rPr>
        <w:t xml:space="preserve">MOAC MUST refuse to evaluate — not default-accept, not skip — if its criteria configuration is unset or fails integrity verification at load, on the same pattern as A17.9's execution-mode raise.</w:t>
      </w:r>
      <w:r>
        <w:rPr>
          <w:rFonts w:ascii="Calibri" w:cs="Calibri" w:eastAsia="Calibri" w:hAnsi="Calibri"/>
          <w:i/>
          <w:iCs/>
          <w:color w:val="8A6D1A"/>
          <w:sz w:val="18"/>
          <w:szCs w:val="18"/>
        </w:rPr>
        <w:t xml:space="preserve">  [Secure initialisation]</w:t>
      </w:r>
    </w:p>
    <w:p>
      <w:pPr>
        <w:spacing w:after="90" w:line="268"/>
        <w:ind w:left="240"/>
      </w:pPr>
      <w:r>
        <w:rPr>
          <w:rFonts w:ascii="Courier New" w:cs="Courier New" w:eastAsia="Courier New" w:hAnsi="Courier New"/>
          <w:b/>
          <w:bCs/>
          <w:color w:val="1E56A0"/>
          <w:sz w:val="18"/>
          <w:szCs w:val="18"/>
        </w:rPr>
        <w:t xml:space="preserve">SEC-5  </w:t>
      </w:r>
      <w:r>
        <w:rPr>
          <w:rFonts w:ascii="Calibri" w:cs="Calibri" w:eastAsia="Calibri" w:hAnsi="Calibri"/>
          <w:sz w:val="20"/>
          <w:szCs w:val="20"/>
        </w:rPr>
        <w:t xml:space="preserve">Every path by which a run's result could be treated as accepted MUST be enumerated and shown to pass through MOAC's evaluation, in a build-time test comparable to SyniSense's negative-scan gate.</w:t>
      </w:r>
      <w:r>
        <w:rPr>
          <w:rFonts w:ascii="Calibri" w:cs="Calibri" w:eastAsia="Calibri" w:hAnsi="Calibri"/>
          <w:i/>
          <w:iCs/>
          <w:color w:val="8A6D1A"/>
          <w:sz w:val="18"/>
          <w:szCs w:val="18"/>
        </w:rPr>
        <w:t xml:space="preserve">  [Non-bypassability, demonstrated not asserted]</w:t>
      </w:r>
    </w:p>
    <w:p>
      <w:pPr>
        <w:pStyle w:val="Heading1"/>
        <w:pBdr>
          <w:bottom w:val="single" w:color="D7DEE8" w:sz="6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12294E"/>
          <w:sz w:val="25"/>
          <w:szCs w:val="25"/>
        </w:rPr>
        <w:t xml:space="preserve">6   DAP-31 — The Artefact Egress Distance Gate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56A0"/>
          <w:sz w:val="21"/>
          <w:szCs w:val="21"/>
        </w:rPr>
        <w:t xml:space="preserve">6.1. The distance gate</w:t>
      </w:r>
    </w:p>
    <w:tbl>
      <w:tblPr>
        <w:tblW w:type="dxa" w:w="896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2200"/>
        <w:gridCol w:w="6760"/>
      </w:tblGrid>
      <w:tr>
        <w:trPr>
          <w:tblHeader/>
        </w:trPr>
        <w:tc>
          <w:tcPr>
            <w:tcW w:type="dxa" w:w="220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76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Demonstrated as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Non-bypassability</w:t>
            </w:r>
          </w:p>
        </w:tc>
        <w:tc>
          <w:tcPr>
            <w:tcW w:type="dxa" w:w="67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Specified in DAP-31 itself: the gate runs after MOAC's acceptance and before registry entry; an artefact that fails is never registered, and an unregistered artefact cannot leave. Every egress path terminates at registration — there is no second door.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Self-protection</w:t>
            </w:r>
          </w:p>
        </w:tc>
        <w:tc>
          <w:tcPr>
            <w:tcW w:type="dxa" w:w="67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“The probe's own code and parameters are system-TCB tier under the Rules Service” (DAP-31, as written). Self-protection is specified in the source amendment, not newly proposed here.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Domain separation</w:t>
            </w:r>
          </w:p>
        </w:tc>
        <w:tc>
          <w:tcPr>
            <w:tcW w:type="dxa" w:w="67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probe operates on the artefact inside estate compute; “the artefact is held in estate compute throughout — it does not leave to be tested” (DAP-31). It does not reach into the party's domain to run.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Secure initialisation</w:t>
            </w:r>
          </w:p>
        </w:tc>
        <w:tc>
          <w:tcPr>
            <w:tcW w:type="dxa" w:w="67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Not explicitly specified. The gate's precondition — a valid, ruled threshold and sample size — is implied but not stated as a refuse-if-unset rule.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Verdict: </w:t>
      </w:r>
      <w:r>
        <w:rPr>
          <w:rFonts w:ascii="Calibri" w:cs="Calibri" w:eastAsia="Calibri" w:hAnsi="Calibri"/>
          <w:b/>
          <w:bCs/>
          <w:color w:val="8A6D1A"/>
          <w:sz w:val="19"/>
          <w:szCs w:val="19"/>
        </w:rPr>
        <w:t xml:space="preserve">Three of four met by the amendment that created it. Secure initialisation is the one gap.</w:t>
      </w:r>
    </w:p>
    <w:p>
      <w:pPr>
        <w:spacing w:after="90" w:line="268"/>
        <w:ind w:left="240"/>
      </w:pPr>
      <w:r>
        <w:rPr>
          <w:rFonts w:ascii="Courier New" w:cs="Courier New" w:eastAsia="Courier New" w:hAnsi="Courier New"/>
          <w:b/>
          <w:bCs/>
          <w:color w:val="1E56A0"/>
          <w:sz w:val="18"/>
          <w:szCs w:val="18"/>
        </w:rPr>
        <w:t xml:space="preserve">SEC-6  </w:t>
      </w:r>
      <w:r>
        <w:rPr>
          <w:rFonts w:ascii="Calibri" w:cs="Calibri" w:eastAsia="Calibri" w:hAnsi="Calibri"/>
          <w:sz w:val="20"/>
          <w:szCs w:val="20"/>
        </w:rPr>
        <w:t xml:space="preserve">DAP-31's probe MUST refuse to run — and MUST refuse egress by default in that state — if the reproduction threshold, sample size, or probe design values are unset. Absence of configuration is a refusal condition, not a bypass.</w:t>
      </w:r>
      <w:r>
        <w:rPr>
          <w:rFonts w:ascii="Calibri" w:cs="Calibri" w:eastAsia="Calibri" w:hAnsi="Calibri"/>
          <w:i/>
          <w:iCs/>
          <w:color w:val="8A6D1A"/>
          <w:sz w:val="18"/>
          <w:szCs w:val="18"/>
        </w:rPr>
        <w:t xml:space="preserve">  [Secure initialisation]</w:t>
      </w:r>
    </w:p>
    <w:p>
      <w:pPr>
        <w:pStyle w:val="Heading1"/>
        <w:pBdr>
          <w:bottom w:val="single" w:color="D7DEE8" w:sz="6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12294E"/>
          <w:sz w:val="25"/>
          <w:szCs w:val="25"/>
        </w:rPr>
        <w:t xml:space="preserve">7   DAP-32 — Admission-Integrity Probe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56A0"/>
          <w:sz w:val="21"/>
          <w:szCs w:val="21"/>
        </w:rPr>
        <w:t xml:space="preserve">7.1. The mirage battery</w:t>
      </w:r>
    </w:p>
    <w:tbl>
      <w:tblPr>
        <w:tblW w:type="dxa" w:w="896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2200"/>
        <w:gridCol w:w="6760"/>
      </w:tblGrid>
      <w:tr>
        <w:trPr>
          <w:tblHeader/>
        </w:trPr>
        <w:tc>
          <w:tcPr>
            <w:tcW w:type="dxa" w:w="220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76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Demonstrated as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Non-bypassability</w:t>
            </w:r>
          </w:p>
        </w:tc>
        <w:tc>
          <w:tcPr>
            <w:tcW w:type="dxa" w:w="67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Every base model entering under DAP-9 passes the battery before contact with any estate unit — stated as a precondition in DAP-32 itself, not a parallel path.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Self-protection</w:t>
            </w:r>
          </w:p>
        </w:tc>
        <w:tc>
          <w:tcPr>
            <w:tcW w:type="dxa" w:w="67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mirage shares no store with production (C1); a model under test cannot reach real estate data regardless of what it does inside the battery.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Domain separation</w:t>
            </w:r>
          </w:p>
        </w:tc>
        <w:tc>
          <w:tcPr>
            <w:tcW w:type="dxa" w:w="67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battery runs inside the mirage's own isolated domain — by construction, per C1.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Secure initialisation</w:t>
            </w:r>
          </w:p>
        </w:tc>
        <w:tc>
          <w:tcPr>
            <w:tcW w:type="dxa" w:w="67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Not specified. As with DAP-31, the precondition of a valid battery configuration is implied, not stated as a refuse-if-unset rule.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Verdict: </w:t>
      </w:r>
      <w:r>
        <w:rPr>
          <w:rFonts w:ascii="Calibri" w:cs="Calibri" w:eastAsia="Calibri" w:hAnsi="Calibri"/>
          <w:b/>
          <w:bCs/>
          <w:color w:val="8A6D1A"/>
          <w:sz w:val="19"/>
          <w:szCs w:val="19"/>
        </w:rPr>
        <w:t xml:space="preserve">Three of four met, inherited directly from the mirage's own established properties. Secure initialisation is the gap, same shape as 6.1's.</w:t>
      </w:r>
    </w:p>
    <w:p>
      <w:pPr>
        <w:spacing w:after="90" w:line="268"/>
        <w:ind w:left="240"/>
      </w:pPr>
      <w:r>
        <w:rPr>
          <w:rFonts w:ascii="Courier New" w:cs="Courier New" w:eastAsia="Courier New" w:hAnsi="Courier New"/>
          <w:b/>
          <w:bCs/>
          <w:color w:val="1E56A0"/>
          <w:sz w:val="18"/>
          <w:szCs w:val="18"/>
        </w:rPr>
        <w:t xml:space="preserve">SEC-7  </w:t>
      </w:r>
      <w:r>
        <w:rPr>
          <w:rFonts w:ascii="Calibri" w:cs="Calibri" w:eastAsia="Calibri" w:hAnsi="Calibri"/>
          <w:sz w:val="20"/>
          <w:szCs w:val="20"/>
        </w:rPr>
        <w:t xml:space="preserve">DAP-32's battery MUST refuse to admit a model — default to refusal, not default to pass — if battery composition or deviation thresholds are unset.</w:t>
      </w:r>
      <w:r>
        <w:rPr>
          <w:rFonts w:ascii="Calibri" w:cs="Calibri" w:eastAsia="Calibri" w:hAnsi="Calibri"/>
          <w:i/>
          <w:iCs/>
          <w:color w:val="8A6D1A"/>
          <w:sz w:val="18"/>
          <w:szCs w:val="18"/>
        </w:rPr>
        <w:t xml:space="preserve">  [Secure initialisation]</w:t>
      </w:r>
    </w:p>
    <w:p>
      <w:pPr>
        <w:pBdr>
          <w:left w:val="single" w:color="8A6D1A" w:sz="14" w:space="7"/>
        </w:pBdr>
        <w:shd w:fill="FBF6E6" w:val="clear"/>
        <w:spacing w:after="150" w:before="90"/>
        <w:ind w:left="110" w:right="110"/>
      </w:pPr>
      <w:r>
        <w:rPr>
          <w:rFonts w:ascii="Calibri" w:cs="Calibri" w:eastAsia="Calibri" w:hAnsi="Calibri"/>
          <w:i/>
          <w:iCs/>
          <w:color w:val="5A4A10"/>
          <w:sz w:val="19"/>
          <w:szCs w:val="19"/>
        </w:rPr>
        <w:t xml:space="preserve">SEC-4, SEC-6, and SEC-7 are the same rule applied three times: an unconfigured gate refuses. Worth ratifying once, as a platform-wide default under Attribute 11 (Failure Posture), rather than as three separate clauses that happen to say the same thing — flagged for the Failure Posture Enumeration (document 5 of this set) to absorb.</w:t>
      </w:r>
    </w:p>
    <w:p>
      <w:pPr>
        <w:pStyle w:val="Heading1"/>
        <w:pBdr>
          <w:bottom w:val="single" w:color="D7DEE8" w:sz="6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12294E"/>
          <w:sz w:val="25"/>
          <w:szCs w:val="25"/>
        </w:rPr>
        <w:t xml:space="preserve">8   QA-2 — The Format Gate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56A0"/>
          <w:sz w:val="21"/>
          <w:szCs w:val="21"/>
        </w:rPr>
        <w:t xml:space="preserve">8.1. Schema-completeness check</w:t>
      </w:r>
    </w:p>
    <w:tbl>
      <w:tblPr>
        <w:tblW w:type="dxa" w:w="896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2200"/>
        <w:gridCol w:w="6760"/>
      </w:tblGrid>
      <w:tr>
        <w:trPr>
          <w:tblHeader/>
        </w:trPr>
        <w:tc>
          <w:tcPr>
            <w:tcW w:type="dxa" w:w="220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76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Demonstrated as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Non-bypassability</w:t>
            </w:r>
          </w:p>
        </w:tc>
        <w:tc>
          <w:tcPr>
            <w:tcW w:type="dxa" w:w="67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“The single hard gate — a submission missing its required sections is returned for completion before it enters the loop” (QA-2, verified verbatim). Every submission passes through it before any further review.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Self-protection</w:t>
            </w:r>
          </w:p>
        </w:tc>
        <w:tc>
          <w:tcPr>
            <w:tcW w:type="dxa" w:w="67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Not specified in canon. QA-2 is form-only by its own text (“form, never substance”) — its lowest-stakes monitor on this list, and correspondingly the least specified.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Domain separation</w:t>
            </w:r>
          </w:p>
        </w:tc>
        <w:tc>
          <w:tcPr>
            <w:tcW w:type="dxa" w:w="67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Operates within the Critic Seam's own boundary, ahead of RV/QA tiers.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Secure initialisation</w:t>
            </w:r>
          </w:p>
        </w:tc>
        <w:tc>
          <w:tcPr>
            <w:tcW w:type="dxa" w:w="67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Not specified.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Verdict: </w:t>
      </w:r>
      <w:r>
        <w:rPr>
          <w:rFonts w:ascii="Calibri" w:cs="Calibri" w:eastAsia="Calibri" w:hAnsi="Calibri"/>
          <w:b/>
          <w:bCs/>
          <w:color w:val="8A6D1A"/>
          <w:sz w:val="19"/>
          <w:szCs w:val="19"/>
        </w:rPr>
        <w:t xml:space="preserve">Non-bypassability and domain separation reasonably inferred from its position in the loop; self-protection and initialisation are unspecified. Lowest priority to close — QA-2 gates form, not access or disclosure.</w:t>
      </w:r>
    </w:p>
    <w:p>
      <w:pPr>
        <w:pStyle w:val="Heading1"/>
        <w:pBdr>
          <w:bottom w:val="single" w:color="D7DEE8" w:sz="6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12294E"/>
          <w:sz w:val="25"/>
          <w:szCs w:val="25"/>
        </w:rPr>
        <w:t xml:space="preserve">9   Summary</w:t>
      </w:r>
    </w:p>
    <w:tbl>
      <w:tblPr>
        <w:tblW w:type="dxa" w:w="896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2600"/>
        <w:gridCol w:w="1600"/>
        <w:gridCol w:w="1600"/>
        <w:gridCol w:w="1600"/>
        <w:gridCol w:w="1560"/>
      </w:tblGrid>
      <w:tr>
        <w:trPr>
          <w:tblHeader/>
        </w:trPr>
        <w:tc>
          <w:tcPr>
            <w:tcW w:type="dxa" w:w="260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Monitor</w:t>
            </w:r>
          </w:p>
        </w:tc>
        <w:tc>
          <w:tcPr>
            <w:tcW w:type="dxa" w:w="160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Non-bypass</w:t>
            </w:r>
          </w:p>
        </w:tc>
        <w:tc>
          <w:tcPr>
            <w:tcW w:type="dxa" w:w="160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Self-protect</w:t>
            </w:r>
          </w:p>
        </w:tc>
        <w:tc>
          <w:tcPr>
            <w:tcW w:type="dxa" w:w="160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Domain sep.</w:t>
            </w:r>
          </w:p>
        </w:tc>
        <w:tc>
          <w:tcPr>
            <w:tcW w:type="dxa" w:w="156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SyniSense chokepoint</w:t>
            </w:r>
          </w:p>
        </w:tc>
        <w:tc>
          <w:tcPr>
            <w:tcW w:type="dxa" w:w="16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Met</w:t>
            </w:r>
          </w:p>
        </w:tc>
        <w:tc>
          <w:tcPr>
            <w:tcW w:type="dxa" w:w="16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Partial (SEC-1)</w:t>
            </w:r>
          </w:p>
        </w:tc>
        <w:tc>
          <w:tcPr>
            <w:tcW w:type="dxa" w:w="16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Met</w:t>
            </w:r>
          </w:p>
        </w:tc>
        <w:tc>
          <w:tcPr>
            <w:tcW w:type="dxa" w:w="15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Met</w:t>
            </w:r>
          </w:p>
        </w:tc>
      </w:tr>
      <w:tr>
        <w:trPr>
          <w:tblHeader w:val="false"/>
        </w:trPr>
        <w:tc>
          <w:tcPr>
            <w:tcW w:type="dxa" w:w="26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Watch — Mkono</w:t>
            </w:r>
          </w:p>
        </w:tc>
        <w:tc>
          <w:tcPr>
            <w:tcW w:type="dxa" w:w="16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Met</w:t>
            </w:r>
          </w:p>
        </w:tc>
        <w:tc>
          <w:tcPr>
            <w:tcW w:type="dxa" w:w="16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Met</w:t>
            </w:r>
          </w:p>
        </w:tc>
        <w:tc>
          <w:tcPr>
            <w:tcW w:type="dxa" w:w="16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Met</w:t>
            </w:r>
          </w:p>
        </w:tc>
        <w:tc>
          <w:tcPr>
            <w:tcW w:type="dxa" w:w="15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External witness</w:t>
            </w:r>
          </w:p>
        </w:tc>
        <w:tc>
          <w:tcPr>
            <w:tcW w:type="dxa" w:w="16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N/A</w:t>
            </w:r>
          </w:p>
        </w:tc>
        <w:tc>
          <w:tcPr>
            <w:tcW w:type="dxa" w:w="16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Met</w:t>
            </w:r>
          </w:p>
        </w:tc>
        <w:tc>
          <w:tcPr>
            <w:tcW w:type="dxa" w:w="16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Met</w:t>
            </w:r>
          </w:p>
        </w:tc>
        <w:tc>
          <w:tcPr>
            <w:tcW w:type="dxa" w:w="15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Ruling pending</w:t>
            </w:r>
          </w:p>
        </w:tc>
      </w:tr>
      <w:tr>
        <w:trPr>
          <w:tblHeader w:val="false"/>
        </w:trPr>
        <w:tc>
          <w:tcPr>
            <w:tcW w:type="dxa" w:w="26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MOAC</w:t>
            </w:r>
          </w:p>
        </w:tc>
        <w:tc>
          <w:tcPr>
            <w:tcW w:type="dxa" w:w="16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Proposed (SEC-5)</w:t>
            </w:r>
          </w:p>
        </w:tc>
        <w:tc>
          <w:tcPr>
            <w:tcW w:type="dxa" w:w="16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Proposed (SEC-2)</w:t>
            </w:r>
          </w:p>
        </w:tc>
        <w:tc>
          <w:tcPr>
            <w:tcW w:type="dxa" w:w="16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Proposed (SEC-3)</w:t>
            </w:r>
          </w:p>
        </w:tc>
        <w:tc>
          <w:tcPr>
            <w:tcW w:type="dxa" w:w="15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Proposed (SEC-4)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DAP-31 distance gate</w:t>
            </w:r>
          </w:p>
        </w:tc>
        <w:tc>
          <w:tcPr>
            <w:tcW w:type="dxa" w:w="16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Met</w:t>
            </w:r>
          </w:p>
        </w:tc>
        <w:tc>
          <w:tcPr>
            <w:tcW w:type="dxa" w:w="16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Met</w:t>
            </w:r>
          </w:p>
        </w:tc>
        <w:tc>
          <w:tcPr>
            <w:tcW w:type="dxa" w:w="16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Met</w:t>
            </w:r>
          </w:p>
        </w:tc>
        <w:tc>
          <w:tcPr>
            <w:tcW w:type="dxa" w:w="15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Proposed (SEC-6)</w:t>
            </w:r>
          </w:p>
        </w:tc>
      </w:tr>
      <w:tr>
        <w:trPr>
          <w:tblHeader w:val="false"/>
        </w:trPr>
        <w:tc>
          <w:tcPr>
            <w:tcW w:type="dxa" w:w="26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DAP-32 admission probe</w:t>
            </w:r>
          </w:p>
        </w:tc>
        <w:tc>
          <w:tcPr>
            <w:tcW w:type="dxa" w:w="16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Met</w:t>
            </w:r>
          </w:p>
        </w:tc>
        <w:tc>
          <w:tcPr>
            <w:tcW w:type="dxa" w:w="16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Met</w:t>
            </w:r>
          </w:p>
        </w:tc>
        <w:tc>
          <w:tcPr>
            <w:tcW w:type="dxa" w:w="16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Met</w:t>
            </w:r>
          </w:p>
        </w:tc>
        <w:tc>
          <w:tcPr>
            <w:tcW w:type="dxa" w:w="15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Proposed (SEC-7)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QA-2 format gate</w:t>
            </w:r>
          </w:p>
        </w:tc>
        <w:tc>
          <w:tcPr>
            <w:tcW w:type="dxa" w:w="16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Inferred</w:t>
            </w:r>
          </w:p>
        </w:tc>
        <w:tc>
          <w:tcPr>
            <w:tcW w:type="dxa" w:w="16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Open</w:t>
            </w:r>
          </w:p>
        </w:tc>
        <w:tc>
          <w:tcPr>
            <w:tcW w:type="dxa" w:w="16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Inferred</w:t>
            </w:r>
          </w:p>
        </w:tc>
        <w:tc>
          <w:tcPr>
            <w:tcW w:type="dxa" w:w="15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130" w:line="276"/>
      </w:pPr>
      <w:r>
        <w:rPr>
          <w:rFonts w:ascii="Calibri" w:cs="Calibri" w:eastAsia="Calibri" w:hAnsi="Calibri"/>
          <w:sz w:val="20"/>
          <w:szCs w:val="20"/>
        </w:rPr>
        <w:t xml:space="preserve">Seven requirements (SEC-1 through SEC-7) close every proposed gap above except QA-2's self-protection and initialisation, left open as the lowest-consequence item on this list — named rather than silently dropped.</w:t>
      </w:r>
    </w:p>
    <w:sectPr>
      <w:footerReference w:type="default" r:id="rId7"/>
      <w:pgSz w:w="12240" w:h="15840" w:orient="portrait"/>
      <w:pgMar w:top="1000" w:right="1150" w:bottom="10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EE8" w:sz="4" w:space="4"/>
      </w:pBdr>
      <w:jc w:val="center"/>
    </w:pPr>
    <w:r>
      <w:rPr>
        <w:rFonts w:ascii="Calibri" w:cs="Calibri" w:eastAsia="Calibri" w:hAnsi="Calibri"/>
        <w:i/>
        <w:iCs/>
        <w:color w:val="55606E"/>
        <w:sz w:val="13"/>
        <w:szCs w:val="13"/>
      </w:rPr>
      <w:t xml:space="preserve">Security Architecture Description · security_architecture_v1 · Draft for owner ratification · Commercial-in-confidence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2026-09-09T08:25:58.402Z</dcterms:created>
  <dcterms:modified xsi:type="dcterms:W3CDTF">2026-09-09T08:25:58.402Z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