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4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4"/>
          <w:szCs w:val="34"/>
        </w:rPr>
        <w:t xml:space="preserve">Named Security Function Policies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security_function_policies_v1 — Draft for owner ratification · Closes Document 0 G-7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A Correction Before the Substance</w:t>
      </w:r>
    </w:p>
    <w:p>
      <w:pPr>
        <w:pBdr>
          <w:left w:val="single" w:color="B71C1C" w:sz="16" w:space="8"/>
        </w:pBdr>
        <w:shd w:fill="FDECEA" w:val="clear"/>
        <w:spacing w:after="170" w:before="100"/>
        <w:ind w:left="110" w:right="110"/>
      </w:pPr>
      <w:r>
        <w:rPr>
          <w:rFonts w:ascii="Calibri" w:cs="Calibri" w:eastAsia="Calibri" w:hAnsi="Calibri"/>
          <w:color w:val="7A1E1E"/>
          <w:sz w:val="19"/>
          <w:szCs w:val="19"/>
        </w:rPr>
        <w:t xml:space="preserve">G-7, as originally stated in akki_governance_architecture_v1, characterised “the evidence floor's lower-the-standard path” as subject-alterable — a party being measured able to weaken the bar it is held to — and R-2 offered two options to fix it. Re-checking the source text this document was supposed to fix shows that characterisation is wrong.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“Lower the standard” is Document 4 A5.5, Solva's refusal mechanism, verified verbatim: when a conclusion cannot be supported at the class an objective asked for, the platform refuses visibly and offers the person asking three actions — accept the result as recorded at the class it did achieve, narrow the objective, or lower the standard being asked for. This is a query-recalibration option for the party asking a question. It is not a mechanism by which a party under evaluation weakens the evaluation it is subject to.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The mechanism this was conflated with — the Watch's own binding of certainty to evidence — is A5.2 (Doc 3), verified verbatim: severance may be unlocked only by signals “an outsider cannot fabricate,” computed by “a function with no parameter through which a detector's confidence can enter,” explicitly built by transplanting “the same assertion-boundary discipline Solva uses.” A5.2 is not alterable by the party it measures. It is the opposite of the gap G-7 described.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R-2 is therefore closed with a different finding than either option it originally offered: no violation exists. What remains genuinely open — and is the actual substance of G-7 — is that no mandatory baseline in the system, A5.2 included, has ever been written as a named security function policy in the form Attribute 7 and FDP_ACC.1 require. That work was never blocked by the lower-the-standard question. It proceeds below.</w:t>
      </w:r>
    </w:p>
    <w:p>
      <w:pPr>
        <w:pBdr>
          <w:left w:val="single" w:color="8A6D1A" w:sz="14" w:space="7"/>
        </w:pBdr>
        <w:shd w:fill="FBF6E6" w:val="clear"/>
        <w:spacing w:after="150" w:before="9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Standing correction to R-2's entry in akki_governance_architecture_v1 §3 and to the Security Amendments' G-7 row: both should read “RESOLVED — no violation found on re-examination of Doc 4 A5.5 and Doc 3 A5.2” rather than carrying two unresolved options. Update 11 of this batch applies this correction to the governance architecture directly.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Method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FDP_ACC.1's form, applied to every mandatory baseline found across the canon: the TSF enforces a named policy on a stated set of subjects, objects, and operations. Each entry below states that triple explicitly — the thing G-7 actually found missing — and cites the floor's own source text.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The Policies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100"/>
        <w:gridCol w:w="1900"/>
        <w:gridCol w:w="5960"/>
      </w:tblGrid>
      <w:tr>
        <w:trPr>
          <w:tblHeader/>
        </w:trPr>
        <w:tc>
          <w:tcPr>
            <w:tcW w:type="dxa" w:w="11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9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SFP-1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Assertion Floor</w:t>
            </w:r>
          </w:p>
        </w:tc>
        <w:tc>
          <w:tcPr>
            <w:tcW w:type="dxa" w:w="5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any principal requesting a composed answer. Objects: the claim being composed. Operations: assert, compose, refuse. Rule: no sentence enters a composed answer without a per-sentence anchor to material; an unanchorable sentence is refused, not weakened (Doc 4 A2, A5.5).</w:t>
            </w:r>
          </w:p>
        </w:tc>
      </w:tr>
      <w:tr>
        <w:trPr>
          <w:tblHeader w:val="false"/>
        </w:trPr>
        <w:tc>
          <w:tcPr>
            <w:tcW w:type="dxa" w:w="11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SFP-2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Certainty-to-Evidence Binding</w:t>
            </w:r>
          </w:p>
        </w:tc>
        <w:tc>
          <w:tcPr>
            <w:tcW w:type="dxa" w:w="59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the Watch's response function (Mkono). Objects: severance authority. Operations: unlock, withhold. Rule: severance unlocks only from the closed six-signal registry; no confidence score, however high, is an eligible input (Doc 3 A5.2).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SFP-3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Acceptance Floor</w:t>
            </w:r>
          </w:p>
        </w:tc>
        <w:tc>
          <w:tcPr>
            <w:tcW w:type="dxa" w:w="5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any training run. Objects: model output. Operations: accept, refuse. Rule: every stated criterion satisfied or the run is refused in full; no partial acceptance (Promise #22, MOAC).</w:t>
            </w:r>
          </w:p>
        </w:tc>
      </w:tr>
      <w:tr>
        <w:trPr>
          <w:tblHeader w:val="false"/>
        </w:trPr>
        <w:tc>
          <w:tcPr>
            <w:tcW w:type="dxa" w:w="11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SFP-4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Custody Floor</w:t>
            </w:r>
          </w:p>
        </w:tc>
        <w:tc>
          <w:tcPr>
            <w:tcW w:type="dxa" w:w="59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any data crossing the chokepoint. Objects: the crossing itself. Operations: cross, de-identify, re-identify. Rule: no asset crosses without de-identification appropriate to its custody class (Promise #1, A5.1–A5.3).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SFP-5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Non-Conformance Ceiling</w:t>
            </w:r>
          </w:p>
        </w:tc>
        <w:tc>
          <w:tcPr>
            <w:tcW w:type="dxa" w:w="5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any actor whose behavioural signature drifts from its declared conduct. Objects: the actor's trust discount. Operations: reduce, revoke. Rule: loss of conformance alone returns an actor to baseline verification; it is never, by itself, grounds for conviction (Doc 3 A5.7).</w:t>
            </w:r>
          </w:p>
        </w:tc>
      </w:tr>
      <w:tr>
        <w:trPr>
          <w:tblHeader w:val="false"/>
        </w:trPr>
        <w:tc>
          <w:tcPr>
            <w:tcW w:type="dxa" w:w="11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SFP-6</w:t>
            </w:r>
          </w:p>
        </w:tc>
        <w:tc>
          <w:tcPr>
            <w:tcW w:type="dxa" w:w="190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Release Budget</w:t>
            </w:r>
          </w:p>
        </w:tc>
        <w:tc>
          <w:tcPr>
            <w:tcW w:type="dxa" w:w="5960"/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all external parties, jointly and severally. Objects: the estate's total information release. Operations: release, refuse. Rule: total release across all parties, operations, and time is bounded; exceeding it is a floor violation, not a negotiable ceiling (DAP-35).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7"/>
                <w:szCs w:val="17"/>
              </w:rPr>
              <w:t xml:space="preserve">SFP-7</w:t>
            </w:r>
          </w:p>
        </w:tc>
        <w:tc>
          <w:tcPr>
            <w:tcW w:type="dxa" w:w="1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Reproduction Ceiling</w:t>
            </w:r>
          </w:p>
        </w:tc>
        <w:tc>
          <w:tcPr>
            <w:tcW w:type="dxa" w:w="59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Subjects: any artefact or output leaving a component boundary. Objects: controlled-unit content. Operations: egress, refuse. Rule: no artefact or output passes carrying reproduction of a controlled unit above the ruled threshold (DAP-31, A5.15).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What Was Deliberately Not Named as a Policy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Solva's “lower the standard” option (A5.5) is not listed above, on the finding in §1: it is not a policy constraining a subject, because nothing is being measured against it in the Attribute 7 sense. It remains exactly as specified in Document 4, unchanged by this document.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5   Standing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These seven are the platform's complete set of mandatory baselines as currently identified. A future floor — any new “no X without Y” rule — is added here in the same form, with its own subject/object/operation triple, at the point it is ratified, rather than left implicit in whichever document first states it.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Named Security Function Policies · security_function_policies_v1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2026-09-09T08:29:32.163Z</dcterms:created>
  <dcterms:modified xsi:type="dcterms:W3CDTF">2026-09-09T08:29:32.164Z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