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ENGINE SPECIFICATION  ·  1 OF 9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6"/>
          <w:szCs w:val="36"/>
        </w:rPr>
        <w:t xml:space="preserve">The Trusted Computing Base — Enumeration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tcb_enumeration_v1 — Draft for owner ratification · Closes Document 0 G-1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Applies BA-1.1</w:t>
            </w:r>
          </w:p>
        </w:tc>
        <w:tc>
          <w:tcPr>
            <w:tcW w:type="dxa" w:w="70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“A component is in the TCB if and only if it is deterministic and its failure would falsify a guarantee this document or a document it governs makes.” Two conditions, both required. Neither alone qualifies.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Method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Every component named in akki_governance_architecture_v1 Part 2, plus every mechanism added since by dap_backend_spec_v1 and the Security Amendments, evaluated against both conditions separately. Where a component is internally mixed — part deterministic, part learned — it is split rather than given one verdict for the whole.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Resolves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Document 0 Ruling R-3 (the Watch's TCB membership) — not by new policy, but as the mechanical output of applying BA-1.1 consistently. Confirmed compatible with BR-9.1 (CIF) and BR-7.4 (Grey Mirror), both already on record.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Status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Draft v1. This list is itself TCB-tier content per BA-1.2 — its own future changes go through the Rules Service's system-TCB ceremony (RBM-8) once ratified.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Date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 September 2026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1   The Test, Applied Literally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BA-1.1 sets a conjunction, not a list of examples: deterministic, and protection-critical. A component can be highly consequential and still fail the test if it is learned — CIF is the standing example, excluded under BR-9.1 regardless of how central its ideation is. A component can be perfectly deterministic and still fail the test if nothing depends on it — deterministic housekeeping code that no guarantee cites is not TCB by virtue of being predictable.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“Deterministic” is evaluated at the level of the mechanism actually making a decision, not the subsystem that hosts it. Several entries below split a subsystem in two for exactly this reason: the decision point inside it is deterministic even where the subsystem's broader function is not.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“Protection-critical” is evaluated by BA-1.1's own clause: would this component's failure falsify a stated guarantee. Each row below names the guarantee.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2   The Enumeration</w:t>
      </w:r>
    </w:p>
    <w:tbl>
      <w:tblPr>
        <w:tblW w:type="dxa" w:w="90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000"/>
        <w:gridCol w:w="1900"/>
        <w:gridCol w:w="1050"/>
        <w:gridCol w:w="1050"/>
        <w:gridCol w:w="3060"/>
      </w:tblGrid>
      <w:tr>
        <w:trPr>
          <w:tblHeader/>
        </w:trPr>
        <w:tc>
          <w:tcPr>
            <w:tcW w:type="dxa" w:w="20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/ mechanism</w:t>
            </w:r>
          </w:p>
        </w:tc>
        <w:tc>
          <w:tcPr>
            <w:tcW w:type="dxa" w:w="19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Guarantee at risk if it fails</w:t>
            </w:r>
          </w:p>
        </w:tc>
        <w:tc>
          <w:tcPr>
            <w:tcW w:type="dxa" w:w="105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Deterministic?</w:t>
            </w:r>
          </w:p>
        </w:tc>
        <w:tc>
          <w:tcPr>
            <w:tcW w:type="dxa" w:w="105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Verdict</w:t>
            </w:r>
          </w:p>
        </w:tc>
        <w:tc>
          <w:tcPr>
            <w:tcW w:type="dxa" w:w="30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Reasoning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SyniSense — chokepoint (custody sequence)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leakage of confidential information (#1)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Sole invoking function, negative-scan build test. Deterministic and directly protection-critical — the platform's founding guarantee.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SyniSense — closed outbound network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leakage; no path around the crossing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Allowlist and static-analysis gate. Removing it doesn't change behaviour probabilistically — it removes the boundary.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Solva — assertion-boundary seam (import assertion)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Assertion floor (Doc 4)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enforcement mechanism is deterministic even though what it constrains — Solva's generated reasoning — is not. Split below.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Solva — reasoning / generation itself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Learned. Informs; the seam decides what may be asserted. Excluded by the same logic as CIF.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Northena — objective-freeze mechanism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silent scope recalibration (#32)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shared, deterministic lock on a job's declared scope.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Mtafiti — registry write/query path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Estate composition is what it's recorded to be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Storage and retrieval logic. Any AI-assisted classification suggestion feeding it is a separate, learned input — not itself TCB.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Targeta — yield wall / acceptance gate (MOAC)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result accepted without every criterion (#22)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Fixed criteria evaluated mechanically. No human, and no model, decides acceptance.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Targeta — the training process itself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Partial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Reproducible under a fixed seed, but not a decision point — nothing is admitted or refused by training running. The wall, not the run, is TCB.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Mkondo — hand-off registry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Clean hand-offs, no dropped context (#32)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IN (pending build)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Deterministic by design once built (BR-6.1). Included now so the enumeration doesn't need revisiting the day it ships.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Watch — Mkono (response: annotate/shape/contain/sever)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Nothing is misused (#6/#7), acted on before a human wakes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Executes signed policy against the certainty registry (A5.2). Resolves R-3: the response half qualifies on its own terms.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Watch — Grey Mirror (Macho: detection)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Learned pattern-matching, per BR-7.4 already on record. Detects; does not decide. Resolves R-3's other half.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Ledger — writer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Every claim traceable to evidence (A8)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Append-only, hash-chained, single writer. If this fails, nothing else on this list is verifiable either — the platform's evidentiary floor.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CIF — ideation faculty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Confirms BR-9.1, already on record. Included here for completeness, not as a new finding.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Critic Seam — RV-tier (deterministic record checks)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Evidence integrity (Doc 19A)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Six mechanical verification checks against the record itself.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Critic Seam — QA-tier (model-based judgement)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QA-1's own rule: detect, never decide. Findings route to RV-tier or a human.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MOAC — acceptance-criteria evaluation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result accepted without every criterion (#22)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Same guarantee as Targeta's wall; MOAC is the mechanism that evaluates it.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Rules Service — ceremony engine (RBM-7–RBM-13)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rule in force without ceremony (I-1)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Countdown, countersign verification, atomic apply. Procedural logic, not judgement.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Rules Service — AI-assisted drafting (RBM-2)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Proposes rule text; a named human confirms. The confirmation step is TCB; the proposal isn't.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Whitepaper Wizard — Tier 3 eligibility gate (WPW-11)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human may confer eligibility outside stated conditions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Two-path mechanical check against a run's own results.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Whitepaper Wizard — prose assembly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Drafting draws on Tier 1/2 artefacts (WPW-13) but the composition itself is not a governance decision.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Connect Wizard — rights-recording at admission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Downstream checkpoints have a trustworthy PIP (BR-14.1)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What's recorded here is what every later checkpoint reads. If this is wrong, everything downstream inherits the error.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Agent-Deploy Wizard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Undetermined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UNDETERMINED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BR-15.1 already flags this as an open item — the checkpoint's own outcome set isn't confirmed. No verdict forced here; carried as open.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Deck Rendering Engine — determinism contract (DR-R2)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OUT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Genuinely deterministic, verified by build test — but not protection-critical to governance. Nothing on this platform's security or access guarantees depends on deck rendering. Deterministic is necessary, not sufficient.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DAP — estate release budget (DAP-35)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party or coalition exceeds the ruled total (Attribute 7 instance)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Accumulator and threshold check. A floor violation under A5.2 — among the platform's least tunable mechanisms by design.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DAP — artefact egress distance gate (DAP-31)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artefact carries controlled-unit content past a ruled threshold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Under a fixed seed the probe is deterministic — stated explicitly in the amendment that introduced it.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DAP — output-content gate (A5.15)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permitted output carries controlled content undetected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Already specified as “a deterministic classifier held in the TCB” in the amendment itself. This entry confirms rather than newly decides it.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DAP — admission-integrity probe, canary check (DAP-32, A5.2 half)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trojaned model touches estate data (T-2)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105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IN</w:t>
            </w:r>
          </w:p>
        </w:tc>
        <w:tc>
          <w:tcPr>
            <w:tcW w:type="dxa" w:w="3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Canary touch is on A5.2's closed registry — unfakeable by construction.</w:t>
            </w:r>
          </w:p>
        </w:tc>
      </w:tr>
      <w:tr>
        <w:trPr>
          <w:tblHeader w:val="false"/>
        </w:trPr>
        <w:tc>
          <w:tcPr>
            <w:tcW w:type="dxa" w:w="20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DAP — admission-integrity probe, trigger scan (DAP-32, capability-comparison half)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Mixed</w:t>
            </w:r>
          </w:p>
        </w:tc>
        <w:tc>
          <w:tcPr>
            <w:tcW w:type="dxa" w:w="105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SPLIT</w:t>
            </w:r>
          </w:p>
        </w:tc>
        <w:tc>
          <w:tcPr>
            <w:tcW w:type="dxa" w:w="30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Backdoor trigger-scanning commonly uses statistical methods in the literature this probe implements. Where it does, that half informs; the canary-touch half decides. Flagged for the build to confirm which technique is used.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3   Minimisation — What Was Kept Out, and Why That's Correct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TA-1.2 requires the TCB stay small by design, excluding a learned or non-critical component “even where it is operationally central.” Four exclusions above are worth stating plainly rather than leaving as table rows, because each is operationally central and excluded anyway: Solva's actual reasoning — the platform's most visible capability — is not TCB; CIF, the self-improving core of the training story, is not TCB; Grey Mirror, the detection half of the platform's own security layer, is not TCB; and the Deck Rendering Engine, despite being genuinely, verifiably deterministic, is excluded because determinism alone was never the bar.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This is the minimisation property working as intended, not a set of gaps. A small TCB is a stronger guarantee than a large one — it is what makes G-2's forthcoming architecture description and G-6's security architecture description tractable to write and to verify.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4   What This Unblocks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Downstream item</w:t>
            </w:r>
          </w:p>
        </w:tc>
        <w:tc>
          <w:tcPr>
            <w:tcW w:type="dxa" w:w="69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this closes or advances it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Ruling R-3</w:t>
            </w:r>
          </w:p>
        </w:tc>
        <w:tc>
          <w:tcPr>
            <w:tcW w:type="dxa" w:w="69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Resolved: the Watch's response half (Mkono) is TCB; Grey Mirror's detection half is not. Consistent with, not overriding, the Owner's authority to confirm it.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G-2 — architecture description</w:t>
            </w:r>
          </w:p>
        </w:tc>
        <w:tc>
          <w:tcPr>
            <w:tcW w:type="dxa" w:w="69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subsystem classification (SFR-enforcing / supporting / non-interfering) can now be written against a named list instead of first having to produce one.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G-6 — security architecture description</w:t>
            </w:r>
          </w:p>
        </w:tc>
        <w:tc>
          <w:tcPr>
            <w:tcW w:type="dxa" w:w="69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Every reference-monitor candidate is now named. The next document in this set writes their ADV_ARC properties.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G-10 — determinism inventory</w:t>
            </w:r>
          </w:p>
        </w:tc>
        <w:tc>
          <w:tcPr>
            <w:tcW w:type="dxa" w:w="69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This enumeration is deliberately reused as its starting point, not re-derived — the two questions (TCB membership; deterministic-or-learned) share almost all their evidence.</w:t>
            </w:r>
          </w:p>
        </w:tc>
      </w:tr>
    </w:tbl>
    <w:p>
      <w:pPr>
        <w:pBdr>
          <w:left w:val="single" w:color="8A6D1A" w:sz="14" w:space="7"/>
        </w:pBdr>
        <w:shd w:fill="FBF6E6" w:val="clear"/>
        <w:spacing w:after="150" w:before="90"/>
        <w:ind w:left="110" w:right="110"/>
      </w:pPr>
      <w:r>
        <w:rPr>
          <w:rFonts w:ascii="Calibri" w:cs="Calibri" w:eastAsia="Calibri" w:hAnsi="Calibri"/>
          <w:i/>
          <w:iCs/>
          <w:color w:val="5A4A10"/>
          <w:sz w:val="19"/>
          <w:szCs w:val="19"/>
        </w:rPr>
        <w:t xml:space="preserve">Recommendation, not a ruling this document makes unilaterally: ratify this list as the TCB, formally closing R-3 as stated in §2. The Owner's sign-off is the ceremony act (RBM-8, once the Rules Service is built); this document is the evidence that ceremony would ratify.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TCB Enumeration · tcb_enumeration_v1 · Draft for owner ratification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2026-09-09T08:24:15.728Z</dcterms:created>
  <dcterms:modified xsi:type="dcterms:W3CDTF">2026-09-09T08:24:15.740Z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