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7687"/>
          <w:sz w:val="18"/>
          <w:szCs w:val="18"/>
        </w:rPr>
        <w:t xml:space="preserve">AKKI OS · BRIEF · FINAL</w:t>
      </w:r>
    </w:p>
    <w:p>
      <w:pPr>
        <w:spacing w:after="80"/>
      </w:pPr>
      <w:r>
        <w:rPr>
          <w:rFonts w:ascii="Cambria" w:cs="Cambria" w:eastAsia="Cambria" w:hAnsi="Cambria"/>
          <w:b/>
          <w:bCs/>
          <w:color w:val="1F2A44"/>
          <w:sz w:val="40"/>
          <w:szCs w:val="40"/>
        </w:rPr>
        <w:t xml:space="preserve">Domain expert + production manager skills</w:t>
      </w:r>
    </w:p>
    <w:p>
      <w:pPr>
        <w:pBdr>
          <w:bottom w:val="single" w:color="1F2A44" w:sz="8" w:space="6"/>
        </w:pBdr>
        <w:spacing w:after="240"/>
      </w:pPr>
      <w:r>
        <w:rPr>
          <w:rFonts w:ascii="Calibri" w:cs="Calibri" w:eastAsia="Calibri" w:hAnsi="Calibri"/>
          <w:i/>
          <w:iCs/>
          <w:color w:val="6E7687"/>
          <w:sz w:val="20"/>
          <w:szCs w:val="20"/>
        </w:rPr>
        <w:t xml:space="preserve">What is being built, what for, and how it will work · 30 September 2026</w:t>
      </w:r>
    </w:p>
    <w:p>
      <w:pPr>
        <w:pStyle w:val="Heading1"/>
        <w:spacing w:after="100" w:before="260"/>
      </w:pPr>
      <w:r>
        <w:rPr>
          <w:rFonts w:ascii="Cambria" w:cs="Cambria" w:eastAsia="Cambria" w:hAnsi="Cambria"/>
          <w:b/>
          <w:bCs/>
          <w:color w:val="1F2A44"/>
          <w:sz w:val="28"/>
          <w:szCs w:val="28"/>
        </w:rPr>
        <w:t xml:space="preserve">What is being built</w:t>
      </w:r>
    </w:p>
    <w:p>
      <w:pPr>
        <w:spacing w:after="110" w:line="276"/>
      </w:pPr>
      <w:r>
        <w:rPr>
          <w:rFonts w:ascii="Calibri" w:cs="Calibri" w:eastAsia="Calibri" w:hAnsi="Calibri"/>
          <w:color w:val="1A1A1A"/>
          <w:sz w:val="22"/>
          <w:szCs w:val="22"/>
        </w:rPr>
        <w:t xml:space="preserve">A set of independent skill files, one per domain, each pairing two explicit responsibilities: an expert (proposes, designs, interprets) and a production manager (plans, runs, reports, delivers). Whether the two run as separate agent processes is an implementation choice; the responsibilities are not merged. doc-studio is the first and is built: two voices, three formats from one content model, byte-identical double builds, revision and strike tests passing. The ten that follow are: model training, estate discovery and census, rules and registry, compliance and security evidence, build programme, operations, model admission and deployment, estate onboarding, perception datasets, and the page-aware UI content manager. Tenant applications get their own pairs later, one each.</w:t>
      </w:r>
    </w:p>
    <w:p>
      <w:pPr>
        <w:spacing w:after="110" w:line="276"/>
      </w:pPr>
      <w:r>
        <w:rPr>
          <w:rFonts w:ascii="Calibri" w:cs="Calibri" w:eastAsia="Calibri" w:hAnsi="Calibri"/>
          <w:color w:val="1A1A1A"/>
          <w:sz w:val="22"/>
          <w:szCs w:val="22"/>
        </w:rPr>
        <w:t xml:space="preserve">Each skill is a self-contained package: a SKILL.md carrying the operating knowledge, its own schemas, scripts, fixture commission and evals. No skill imports from another. What they share is a template: a versioned shape each package copies, owns, and declares which version of it implements. Conformance tests check the shared requirements (receipt structure, outcome set, release boundary) across packages without creating a runtime dependency between them.</w:t>
      </w:r>
    </w:p>
    <w:p>
      <w:pPr>
        <w:pStyle w:val="Heading1"/>
        <w:spacing w:after="100" w:before="260"/>
      </w:pPr>
      <w:r>
        <w:rPr>
          <w:rFonts w:ascii="Cambria" w:cs="Cambria" w:eastAsia="Cambria" w:hAnsi="Cambria"/>
          <w:b/>
          <w:bCs/>
          <w:color w:val="1F2A44"/>
          <w:sz w:val="28"/>
          <w:szCs w:val="28"/>
        </w:rPr>
        <w:t xml:space="preserve">What for</w:t>
      </w:r>
    </w:p>
    <w:p>
      <w:pPr>
        <w:spacing w:after="110" w:line="276"/>
      </w:pPr>
      <w:r>
        <w:rPr>
          <w:rFonts w:ascii="Calibri" w:cs="Calibri" w:eastAsia="Calibri" w:hAnsi="Calibri"/>
          <w:color w:val="1A1A1A"/>
          <w:sz w:val="22"/>
          <w:szCs w:val="22"/>
        </w:rPr>
        <w:t xml:space="preserve">The engines hold decision authority and are deterministic. What they lack is a seasoned operator layer: the judgment to turn a business intent into a well-formed commission, the discipline to run it to a record, and the craft to report it in a form the reader can act on. Today that layer is improvised per conversation, which is why quality varies and why the same governance gets reinvented. The skills make the operating knowledge explicit, reusable and testable, while leaving every decision exactly where the canon puts it.</w:t>
      </w:r>
    </w:p>
    <w:p>
      <w:pPr>
        <w:spacing w:after="110" w:line="276"/>
      </w:pPr>
      <w:r>
        <w:rPr>
          <w:rFonts w:ascii="Calibri" w:cs="Calibri" w:eastAsia="Calibri" w:hAnsi="Calibri"/>
          <w:color w:val="1A1A1A"/>
          <w:sz w:val="22"/>
          <w:szCs w:val="22"/>
        </w:rPr>
        <w:t xml:space="preserve">The measure of success is the one CIF uses for itself: the human corrects less each cycle for the same or better output.</w:t>
      </w:r>
    </w:p>
    <w:p>
      <w:pPr>
        <w:pStyle w:val="Heading1"/>
        <w:spacing w:after="100" w:before="260"/>
      </w:pPr>
      <w:r>
        <w:rPr>
          <w:rFonts w:ascii="Cambria" w:cs="Cambria" w:eastAsia="Cambria" w:hAnsi="Cambria"/>
          <w:b/>
          <w:bCs/>
          <w:color w:val="1F2A44"/>
          <w:sz w:val="28"/>
          <w:szCs w:val="28"/>
        </w:rPr>
        <w:t xml:space="preserve">What the expert half must contain</w:t>
      </w:r>
    </w:p>
    <w:p>
      <w:pPr>
        <w:spacing w:after="110" w:line="276"/>
      </w:pPr>
      <w:r>
        <w:rPr>
          <w:rFonts w:ascii="Calibri" w:cs="Calibri" w:eastAsia="Calibri" w:hAnsi="Calibri"/>
          <w:color w:val="1A1A1A"/>
          <w:sz w:val="22"/>
          <w:szCs w:val="22"/>
        </w:rPr>
        <w:t xml:space="preserve">The production controls are the easier half to specify. Each skill's expert half is specified as a capability list with finished examples produced by the skill's own pipeline, selection guidance, and failure examples. A catalogue of options without examples does not establish judgment. For doc-studio the capabilities are: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tcBorders>
              <w:top w:val="single" w:color="D5DAE3" w:sz="4"/>
              <w:left w:val="none" w:sz="0"/>
              <w:bottom w:val="single" w:color="D5DAE3" w:sz="4"/>
              <w:right w:val="none" w:sz="0"/>
            </w:tcBorders>
            <w:shd w:fill="EEF1F5" w:color="auto" w:val="clear"/>
            <w:tcMar>
              <w:top w:type="dxa" w:w="60"/>
              <w:left w:type="dxa" w:w="100"/>
              <w:bottom w:type="dxa" w:w="60"/>
              <w:right w:type="dxa" w:w="100"/>
            </w:tcMar>
          </w:tcPr>
          <w:p>
            <w:pPr>
              <w:spacing w:after="0"/>
            </w:pPr>
            <w:r>
              <w:rPr>
                <w:rFonts w:ascii="Calibri" w:cs="Calibri" w:eastAsia="Calibri" w:hAnsi="Calibri"/>
                <w:b/>
                <w:bCs/>
                <w:color w:val="1A1A1A"/>
                <w:sz w:val="20"/>
                <w:szCs w:val="20"/>
              </w:rPr>
              <w:t xml:space="preserve">Capability</w:t>
            </w:r>
          </w:p>
        </w:tc>
        <w:tc>
          <w:tcPr>
            <w:tcW w:type="dxa" w:w="6700"/>
            <w:tcBorders>
              <w:top w:val="single" w:color="D5DAE3" w:sz="4"/>
              <w:left w:val="none" w:sz="0"/>
              <w:bottom w:val="single" w:color="D5DAE3" w:sz="4"/>
              <w:right w:val="none" w:sz="0"/>
            </w:tcBorders>
            <w:shd w:fill="EEF1F5" w:color="auto" w:val="clear"/>
            <w:tcMar>
              <w:top w:type="dxa" w:w="60"/>
              <w:left w:type="dxa" w:w="100"/>
              <w:bottom w:type="dxa" w:w="60"/>
              <w:right w:type="dxa" w:w="100"/>
            </w:tcMar>
          </w:tcPr>
          <w:p>
            <w:pPr>
              <w:spacing w:after="0"/>
            </w:pPr>
            <w:r>
              <w:rPr>
                <w:rFonts w:ascii="Calibri" w:cs="Calibri" w:eastAsia="Calibri" w:hAnsi="Calibri"/>
                <w:b/>
                <w:bCs/>
                <w:color w:val="1A1A1A"/>
                <w:sz w:val="20"/>
                <w:szCs w:val="20"/>
              </w:rPr>
              <w:t xml:space="preserve">What the skill demonstrates</w:t>
            </w:r>
          </w:p>
        </w:tc>
      </w:tr>
      <w:tr>
        <w:tc>
          <w:tcPr>
            <w:tcW w:type="dxa" w:w="26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Editorial judgment</w:t>
            </w:r>
          </w:p>
        </w:tc>
        <w:tc>
          <w:tcPr>
            <w:tcW w:type="dxa" w:w="67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Turns source material into a clear argument fitted to the audience and setting</w:t>
            </w:r>
          </w:p>
        </w:tc>
      </w:tr>
      <w:tr>
        <w:tc>
          <w:tcPr>
            <w:tcW w:type="dxa" w:w="26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Art direction</w:t>
            </w:r>
          </w:p>
        </w:tc>
        <w:tc>
          <w:tcPr>
            <w:tcW w:type="dxa" w:w="67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Establishes a distinctive visual concept from the curated libraries and holds it across the document</w:t>
            </w:r>
          </w:p>
        </w:tc>
      </w:tr>
      <w:tr>
        <w:tc>
          <w:tcPr>
            <w:tcW w:type="dxa" w:w="26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Composition</w:t>
            </w:r>
          </w:p>
        </w:tc>
        <w:tc>
          <w:tcPr>
            <w:tcW w:type="dxa" w:w="67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Handles sparse, dense, analytical, diagram-led and statement-led pages</w:t>
            </w:r>
          </w:p>
        </w:tc>
      </w:tr>
      <w:tr>
        <w:tc>
          <w:tcPr>
            <w:tcW w:type="dxa" w:w="26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Format expertise</w:t>
            </w:r>
          </w:p>
        </w:tc>
        <w:tc>
          <w:tcPr>
            <w:tcW w:type="dxa" w:w="67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Produces presentable decks, readable papers and working models from one content model</w:t>
            </w:r>
          </w:p>
        </w:tc>
      </w:tr>
      <w:tr>
        <w:tc>
          <w:tcPr>
            <w:tcW w:type="dxa" w:w="26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Customisation</w:t>
            </w:r>
          </w:p>
        </w:tc>
        <w:tc>
          <w:tcPr>
            <w:tcW w:type="dxa" w:w="67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Adapts to house, client identity, purpose and delivery setting</w:t>
            </w:r>
          </w:p>
        </w:tc>
      </w:tr>
      <w:tr>
        <w:tc>
          <w:tcPr>
            <w:tcW w:type="dxa" w:w="26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Revision</w:t>
            </w:r>
          </w:p>
        </w:tc>
        <w:tc>
          <w:tcPr>
            <w:tcW w:type="dxa" w:w="67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Updates affected content while preserving valid design choices</w:t>
            </w:r>
          </w:p>
        </w:tc>
      </w:tr>
    </w:tbl>
    <w:p>
      <w:pPr>
        <w:spacing w:after="110" w:line="276"/>
      </w:pPr>
      <w:r>
        <w:rPr>
          <w:rFonts w:ascii="Calibri" w:cs="Calibri" w:eastAsia="Calibri" w:hAnsi="Calibri"/>
          <w:color w:val="1A1A1A"/>
          <w:sz w:val="22"/>
          <w:szCs w:val="22"/>
        </w:rPr>
        <w:t xml:space="preserve"/>
      </w:r>
    </w:p>
    <w:p>
      <w:pPr>
        <w:pStyle w:val="Heading1"/>
        <w:spacing w:after="100" w:before="260"/>
      </w:pPr>
      <w:r>
        <w:rPr>
          <w:rFonts w:ascii="Cambria" w:cs="Cambria" w:eastAsia="Cambria" w:hAnsi="Cambria"/>
          <w:b/>
          <w:bCs/>
          <w:color w:val="1F2A44"/>
          <w:sz w:val="28"/>
          <w:szCs w:val="28"/>
        </w:rPr>
        <w:t xml:space="preserve">How each skill works</w:t>
      </w:r>
    </w:p>
    <w:p>
      <w:pPr>
        <w:spacing w:after="110" w:line="276"/>
      </w:pPr>
      <w:r>
        <w:rPr>
          <w:rFonts w:ascii="Calibri" w:cs="Calibri" w:eastAsia="Calibri" w:hAnsi="Calibri"/>
          <w:color w:val="1A1A1A"/>
          <w:sz w:val="22"/>
          <w:szCs w:val="22"/>
        </w:rPr>
        <w:t xml:space="preserve">Six stages, the same in every skill, with domain-specific content:</w:t>
      </w:r>
    </w:p>
    <w:p>
      <w:pPr>
        <w:pStyle w:val="ListParagraph"/>
        <w:numPr>
          <w:ilvl w:val="0"/>
          <w:numId w:val="2"/>
        </w:numPr>
        <w:spacing w:after="80" w:line="276"/>
      </w:pPr>
      <w:r>
        <w:rPr>
          <w:rFonts w:ascii="Calibri" w:cs="Calibri" w:eastAsia="Calibri" w:hAnsi="Calibri"/>
          <w:b/>
          <w:bCs/>
          <w:color w:val="1F2A44"/>
          <w:sz w:val="22"/>
          <w:szCs w:val="22"/>
        </w:rPr>
        <w:t xml:space="preserve">Brief. </w:t>
      </w:r>
      <w:r>
        <w:rPr>
          <w:rFonts w:ascii="Calibri" w:cs="Calibri" w:eastAsia="Calibri" w:hAnsi="Calibri"/>
          <w:color w:val="1A1A1A"/>
          <w:sz w:val="22"/>
          <w:szCs w:val="22"/>
        </w:rPr>
        <w:t xml:space="preserve">Six dimensions captured first: purpose, audience, use setting, content available, house and tone, output requirements. The direction manifest cites brief fields, so this is what revision watches.</w:t>
      </w:r>
    </w:p>
    <w:p>
      <w:pPr>
        <w:pStyle w:val="ListParagraph"/>
        <w:numPr>
          <w:ilvl w:val="0"/>
          <w:numId w:val="2"/>
        </w:numPr>
        <w:spacing w:after="80" w:line="276"/>
      </w:pPr>
      <w:r>
        <w:rPr>
          <w:rFonts w:ascii="Calibri" w:cs="Calibri" w:eastAsia="Calibri" w:hAnsi="Calibri"/>
          <w:b/>
          <w:bCs/>
          <w:color w:val="1F2A44"/>
          <w:sz w:val="22"/>
          <w:szCs w:val="22"/>
        </w:rPr>
        <w:t xml:space="preserve">Model. </w:t>
      </w:r>
      <w:r>
        <w:rPr>
          <w:rFonts w:ascii="Calibri" w:cs="Calibri" w:eastAsia="Calibri" w:hAnsi="Calibri"/>
          <w:color w:val="1A1A1A"/>
          <w:sz w:val="22"/>
          <w:szCs w:val="22"/>
        </w:rPr>
        <w:t xml:space="preserve">The single source of facts for the commission: a content model for documents; a TargetOutcome and Collection Schema for training; a matrix proposal set for census; an evidence map for compliance. Every figure carries its class and its receipt; nothing without a receipt enters.</w:t>
      </w:r>
    </w:p>
    <w:p>
      <w:pPr>
        <w:pStyle w:val="ListParagraph"/>
        <w:numPr>
          <w:ilvl w:val="0"/>
          <w:numId w:val="2"/>
        </w:numPr>
        <w:spacing w:after="80" w:line="276"/>
      </w:pPr>
      <w:r>
        <w:rPr>
          <w:rFonts w:ascii="Calibri" w:cs="Calibri" w:eastAsia="Calibri" w:hAnsi="Calibri"/>
          <w:b/>
          <w:bCs/>
          <w:color w:val="1F2A44"/>
          <w:sz w:val="22"/>
          <w:szCs w:val="22"/>
        </w:rPr>
        <w:t xml:space="preserve">Direction. </w:t>
      </w:r>
      <w:r>
        <w:rPr>
          <w:rFonts w:ascii="Calibri" w:cs="Calibri" w:eastAsia="Calibri" w:hAnsi="Calibri"/>
          <w:color w:val="1A1A1A"/>
          <w:sz w:val="22"/>
          <w:szCs w:val="22"/>
        </w:rPr>
        <w:t xml:space="preserve">For a substantial or novel commission the expert proposes two to four candidate approaches assembled from the curated libraries; one is adopted through a CIF verdict record with a manifest of load-bearing assumptions; rejected and deferred candidates persist with their conditions. Routine commissions reuse their established direction under a standing frame unless something material has changed. Before freeze the expert may explore, compose, preview and refine; after freeze the recorded specification executes; where refinement becomes necessary, a revision assesses impact and freezes again. Rendered files are never edited directly.</w:t>
      </w:r>
    </w:p>
    <w:p>
      <w:pPr>
        <w:pStyle w:val="ListParagraph"/>
        <w:numPr>
          <w:ilvl w:val="0"/>
          <w:numId w:val="2"/>
        </w:numPr>
        <w:spacing w:after="80" w:line="276"/>
      </w:pPr>
      <w:r>
        <w:rPr>
          <w:rFonts w:ascii="Calibri" w:cs="Calibri" w:eastAsia="Calibri" w:hAnsi="Calibri"/>
          <w:b/>
          <w:bCs/>
          <w:color w:val="1F2A44"/>
          <w:sz w:val="22"/>
          <w:szCs w:val="22"/>
        </w:rPr>
        <w:t xml:space="preserve">Specification. </w:t>
      </w:r>
      <w:r>
        <w:rPr>
          <w:rFonts w:ascii="Calibri" w:cs="Calibri" w:eastAsia="Calibri" w:hAnsi="Calibri"/>
          <w:color w:val="1A1A1A"/>
          <w:sz w:val="22"/>
          <w:szCs w:val="22"/>
        </w:rPr>
        <w:t xml:space="preserve">The manager writes the format or run spec by reference only. A value typed into a spec instead of referenced is a build blocker.</w:t>
      </w:r>
    </w:p>
    <w:p>
      <w:pPr>
        <w:pStyle w:val="ListParagraph"/>
        <w:numPr>
          <w:ilvl w:val="0"/>
          <w:numId w:val="2"/>
        </w:numPr>
        <w:spacing w:after="80" w:line="276"/>
      </w:pPr>
      <w:r>
        <w:rPr>
          <w:rFonts w:ascii="Calibri" w:cs="Calibri" w:eastAsia="Calibri" w:hAnsi="Calibri"/>
          <w:b/>
          <w:bCs/>
          <w:color w:val="1F2A44"/>
          <w:sz w:val="22"/>
          <w:szCs w:val="22"/>
        </w:rPr>
        <w:t xml:space="preserve">Production. </w:t>
      </w:r>
      <w:r>
        <w:rPr>
          <w:rFonts w:ascii="Calibri" w:cs="Calibri" w:eastAsia="Calibri" w:hAnsi="Calibri"/>
          <w:color w:val="1A1A1A"/>
          <w:sz w:val="22"/>
          <w:szCs w:val="22"/>
        </w:rPr>
        <w:t xml:space="preserve">Deterministic code resolves the spec into a frozen plan and executes it: renders files, runs the calibration stage, assembles the pack, compiles the page brief.</w:t>
      </w:r>
    </w:p>
    <w:p>
      <w:pPr>
        <w:pStyle w:val="ListParagraph"/>
        <w:numPr>
          <w:ilvl w:val="0"/>
          <w:numId w:val="2"/>
        </w:numPr>
        <w:spacing w:after="80" w:line="276"/>
      </w:pPr>
      <w:r>
        <w:rPr>
          <w:rFonts w:ascii="Calibri" w:cs="Calibri" w:eastAsia="Calibri" w:hAnsi="Calibri"/>
          <w:b/>
          <w:bCs/>
          <w:color w:val="1F2A44"/>
          <w:sz w:val="22"/>
          <w:szCs w:val="22"/>
        </w:rPr>
        <w:t xml:space="preserve">Gates and delivery. </w:t>
      </w:r>
      <w:r>
        <w:rPr>
          <w:rFonts w:ascii="Calibri" w:cs="Calibri" w:eastAsia="Calibri" w:hAnsi="Calibri"/>
          <w:color w:val="1A1A1A"/>
          <w:sz w:val="22"/>
          <w:szCs w:val="22"/>
        </w:rPr>
        <w:t xml:space="preserve">Mechanical blockers stop release; judgment items route as review questions and are never auto-fixed. Delivery is the outputs plus a build manifest recording inputs, environment and hashes. Revision applies changes, bumps the model version, detects manifest strikes, rebuilds, and reports what changed and whether the design held.</w:t>
      </w:r>
    </w:p>
    <w:p>
      <w:pPr>
        <w:pStyle w:val="Heading1"/>
        <w:spacing w:after="100" w:before="260"/>
      </w:pPr>
      <w:r>
        <w:rPr>
          <w:rFonts w:ascii="Cambria" w:cs="Cambria" w:eastAsia="Cambria" w:hAnsi="Cambria"/>
          <w:b/>
          <w:bCs/>
          <w:color w:val="1F2A44"/>
          <w:sz w:val="28"/>
          <w:szCs w:val="28"/>
        </w:rPr>
        <w:t xml:space="preserve">Reproducibility, per domain</w:t>
      </w:r>
    </w:p>
    <w:p>
      <w:pPr>
        <w:spacing w:after="110" w:line="276"/>
      </w:pPr>
      <w:r>
        <w:rPr>
          <w:rFonts w:ascii="Calibri" w:cs="Calibri" w:eastAsia="Calibri" w:hAnsi="Calibri"/>
          <w:color w:val="1A1A1A"/>
          <w:sz w:val="22"/>
          <w:szCs w:val="22"/>
        </w:rPr>
        <w:t xml:space="preserve">Same inputs, same result is the target; what counts as the same result is declared per skill and cites its canon line rather than inheriting a universal claim. Run timestamps and execution identifiers are kept apart from the content whose hashes must match.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D5DAE3" w:sz="4"/>
              <w:left w:val="none" w:sz="0"/>
              <w:bottom w:val="single" w:color="D5DAE3" w:sz="4"/>
              <w:right w:val="none" w:sz="0"/>
            </w:tcBorders>
            <w:shd w:fill="EEF1F5" w:color="auto" w:val="clear"/>
            <w:tcMar>
              <w:top w:type="dxa" w:w="60"/>
              <w:left w:type="dxa" w:w="100"/>
              <w:bottom w:type="dxa" w:w="60"/>
              <w:right w:type="dxa" w:w="100"/>
            </w:tcMar>
          </w:tcPr>
          <w:p>
            <w:pPr>
              <w:spacing w:after="0"/>
            </w:pPr>
            <w:r>
              <w:rPr>
                <w:rFonts w:ascii="Calibri" w:cs="Calibri" w:eastAsia="Calibri" w:hAnsi="Calibri"/>
                <w:b/>
                <w:bCs/>
                <w:color w:val="1A1A1A"/>
                <w:sz w:val="20"/>
                <w:szCs w:val="20"/>
              </w:rPr>
              <w:t xml:space="preserve">Operation</w:t>
            </w:r>
          </w:p>
        </w:tc>
        <w:tc>
          <w:tcPr>
            <w:tcW w:type="dxa" w:w="6300"/>
            <w:tcBorders>
              <w:top w:val="single" w:color="D5DAE3" w:sz="4"/>
              <w:left w:val="none" w:sz="0"/>
              <w:bottom w:val="single" w:color="D5DAE3" w:sz="4"/>
              <w:right w:val="none" w:sz="0"/>
            </w:tcBorders>
            <w:shd w:fill="EEF1F5" w:color="auto" w:val="clear"/>
            <w:tcMar>
              <w:top w:type="dxa" w:w="60"/>
              <w:left w:type="dxa" w:w="100"/>
              <w:bottom w:type="dxa" w:w="60"/>
              <w:right w:type="dxa" w:w="100"/>
            </w:tcMar>
          </w:tcPr>
          <w:p>
            <w:pPr>
              <w:spacing w:after="0"/>
            </w:pPr>
            <w:r>
              <w:rPr>
                <w:rFonts w:ascii="Calibri" w:cs="Calibri" w:eastAsia="Calibri" w:hAnsi="Calibri"/>
                <w:b/>
                <w:bCs/>
                <w:color w:val="1A1A1A"/>
                <w:sz w:val="20"/>
                <w:szCs w:val="20"/>
              </w:rPr>
              <w:t xml:space="preserve">Contract</w:t>
            </w:r>
          </w:p>
        </w:tc>
      </w:tr>
      <w:tr>
        <w:tc>
          <w:tcPr>
            <w:tcW w:type="dxa" w:w="30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Specification compilation</w:t>
            </w:r>
          </w:p>
        </w:tc>
        <w:tc>
          <w:tcPr>
            <w:tcW w:type="dxa" w:w="63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Identical resolved plan from identical versioned inputs</w:t>
            </w:r>
          </w:p>
        </w:tc>
      </w:tr>
      <w:tr>
        <w:tc>
          <w:tcPr>
            <w:tcW w:type="dxa" w:w="30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Document rendering</w:t>
            </w:r>
          </w:p>
        </w:tc>
        <w:tc>
          <w:tcPr>
            <w:tcW w:type="dxa" w:w="63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Byte-identical artefacts in the fixed build environment (DR-R2); proven by building twice</w:t>
            </w:r>
          </w:p>
        </w:tc>
      </w:tr>
      <w:tr>
        <w:tc>
          <w:tcPr>
            <w:tcW w:type="dxa" w:w="30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Live discovery</w:t>
            </w:r>
          </w:p>
        </w:tc>
        <w:tc>
          <w:tcPr>
            <w:tcW w:type="dxa" w:w="63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Replayable processing of a captured observation set</w:t>
            </w:r>
          </w:p>
        </w:tc>
      </w:tr>
      <w:tr>
        <w:tc>
          <w:tcPr>
            <w:tcW w:type="dxa" w:w="30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Model training</w:t>
            </w:r>
          </w:p>
        </w:tc>
        <w:tc>
          <w:tcPr>
            <w:tcW w:type="dxa" w:w="6300"/>
            <w:tcBorders>
              <w:top w:val="single" w:color="D5DAE3" w:sz="4"/>
              <w:left w:val="none" w:sz="0"/>
              <w:bottom w:val="single" w:color="D5DAE3" w:sz="4"/>
              <w:right w:val="none" w:sz="0"/>
            </w:tcBorders>
            <w:tcMar>
              <w:top w:type="dxa" w:w="60"/>
              <w:left w:type="dxa" w:w="100"/>
              <w:bottom w:type="dxa" w:w="60"/>
              <w:right w:type="dxa" w:w="100"/>
            </w:tcMar>
          </w:tcPr>
          <w:p>
            <w:pPr>
              <w:spacing w:after="0"/>
            </w:pPr>
            <w:r>
              <w:rPr>
                <w:rFonts w:ascii="Calibri" w:cs="Calibri" w:eastAsia="Calibri" w:hAnsi="Calibri"/>
                <w:b w:val="false"/>
                <w:bCs w:val="false"/>
                <w:color w:val="1A1A1A"/>
                <w:sz w:val="20"/>
                <w:szCs w:val="20"/>
              </w:rPr>
              <w:t xml:space="preserve">Recorded data, configuration and environment; seed-fixed re-run within tolerance (C.8 standard criteria, C.20 reproducibility test)</w:t>
            </w:r>
          </w:p>
        </w:tc>
      </w:tr>
    </w:tbl>
    <w:p>
      <w:pPr>
        <w:spacing w:after="110" w:line="276"/>
      </w:pPr>
      <w:r>
        <w:rPr>
          <w:rFonts w:ascii="Calibri" w:cs="Calibri" w:eastAsia="Calibri" w:hAnsi="Calibri"/>
          <w:color w:val="1A1A1A"/>
          <w:sz w:val="22"/>
          <w:szCs w:val="22"/>
        </w:rPr>
        <w:t xml:space="preserve"/>
      </w:r>
    </w:p>
    <w:p>
      <w:pPr>
        <w:pStyle w:val="Heading1"/>
        <w:spacing w:after="100" w:before="260"/>
      </w:pPr>
      <w:r>
        <w:rPr>
          <w:rFonts w:ascii="Cambria" w:cs="Cambria" w:eastAsia="Cambria" w:hAnsi="Cambria"/>
          <w:b/>
          <w:bCs/>
          <w:color w:val="1F2A44"/>
          <w:sz w:val="28"/>
          <w:szCs w:val="28"/>
        </w:rPr>
        <w:t xml:space="preserve">Evidence classes</w:t>
      </w:r>
    </w:p>
    <w:p>
      <w:pPr>
        <w:spacing w:after="110" w:line="276"/>
      </w:pPr>
      <w:r>
        <w:rPr>
          <w:rFonts w:ascii="Calibri" w:cs="Calibri" w:eastAsia="Calibri" w:hAnsi="Calibri"/>
          <w:color w:val="1A1A1A"/>
          <w:sz w:val="22"/>
          <w:szCs w:val="22"/>
        </w:rPr>
        <w:t xml:space="preserve">The canon's grammar holds: measured, estimated, sample, observed. Calculations reference their inputs; estimates carry their basis; design configuration references tokens and policies. Editorial content (headings, transitions, so-what lines) carries editorial accountability under a named author role rather than a measurement receipt; the values-by-reference lint already treats prose this way. No parallel taxonomy is introduced.</w:t>
      </w:r>
    </w:p>
    <w:p>
      <w:pPr>
        <w:pStyle w:val="Heading1"/>
        <w:spacing w:after="100" w:before="260"/>
      </w:pPr>
      <w:r>
        <w:rPr>
          <w:rFonts w:ascii="Cambria" w:cs="Cambria" w:eastAsia="Cambria" w:hAnsi="Cambria"/>
          <w:b/>
          <w:bCs/>
          <w:color w:val="1F2A44"/>
          <w:sz w:val="28"/>
          <w:szCs w:val="28"/>
        </w:rPr>
        <w:t xml:space="preserve">Discretion and reserved authority</w:t>
      </w:r>
    </w:p>
    <w:p>
      <w:pPr>
        <w:spacing w:after="110" w:line="276"/>
      </w:pPr>
      <w:r>
        <w:rPr>
          <w:rFonts w:ascii="Calibri" w:cs="Calibri" w:eastAsia="Calibri" w:hAnsi="Calibri"/>
          <w:color w:val="1A1A1A"/>
          <w:sz w:val="22"/>
          <w:szCs w:val="22"/>
        </w:rPr>
        <w:t xml:space="preserve">Reserved to the mechanism or the named seat, and never a skill output: acceptance, admission, eligibility, release, over-ceiling spend, rule application, and any action in the Watch's ladder. A skill's outputs are proposals, reports and requests.</w:t>
      </w:r>
    </w:p>
    <w:p>
      <w:pPr>
        <w:spacing w:after="110" w:line="276"/>
      </w:pPr>
      <w:r>
        <w:rPr>
          <w:rFonts w:ascii="Calibri" w:cs="Calibri" w:eastAsia="Calibri" w:hAnsi="Calibri"/>
          <w:color w:val="1A1A1A"/>
          <w:sz w:val="22"/>
          <w:szCs w:val="22"/>
        </w:rPr>
        <w:t xml:space="preserve">Permitted within an adopted direction, without escalation: plate and composition selection, narrative order, wording, chart form for a stated message, and bounded repair of a mechanical defect (at most three passes, each a spec or policy change followed by a full rebuild). Judgment reaches a person only when mandate or policy cannot resolve it. Each skill states its own list of permitted choices; an unstated choice is escalated.</w:t>
      </w:r>
    </w:p>
    <w:p>
      <w:pPr>
        <w:pStyle w:val="Heading1"/>
        <w:spacing w:after="100" w:before="260"/>
      </w:pPr>
      <w:r>
        <w:rPr>
          <w:rFonts w:ascii="Cambria" w:cs="Cambria" w:eastAsia="Cambria" w:hAnsi="Cambria"/>
          <w:b/>
          <w:bCs/>
          <w:color w:val="1F2A44"/>
          <w:sz w:val="28"/>
          <w:szCs w:val="28"/>
        </w:rPr>
        <w:t xml:space="preserve">How it integrates with the engines</w:t>
      </w:r>
    </w:p>
    <w:p>
      <w:pPr>
        <w:spacing w:after="110" w:line="276"/>
      </w:pPr>
      <w:r>
        <w:rPr>
          <w:rFonts w:ascii="Calibri" w:cs="Calibri" w:eastAsia="Calibri" w:hAnsi="Calibri"/>
          <w:color w:val="1A1A1A"/>
          <w:sz w:val="22"/>
          <w:szCs w:val="22"/>
        </w:rPr>
        <w:t xml:space="preserve">Compile in, read out. A skill produces inputs to an engine's existing contract (a DeckSpec, a TargetOutcome, a rule proposal, a wizard step) and consumes the engine's record (run records, Ledger rows, registry entries, receipts). It never writes into engine state. Where a skill would need a second door, the skill is mis-scoped.</w:t>
      </w:r>
    </w:p>
    <w:p>
      <w:pPr>
        <w:pStyle w:val="Heading1"/>
        <w:spacing w:after="100" w:before="260"/>
      </w:pPr>
      <w:r>
        <w:rPr>
          <w:rFonts w:ascii="Cambria" w:cs="Cambria" w:eastAsia="Cambria" w:hAnsi="Cambria"/>
          <w:b/>
          <w:bCs/>
          <w:color w:val="1F2A44"/>
          <w:sz w:val="28"/>
          <w:szCs w:val="28"/>
        </w:rPr>
        <w:t xml:space="preserve">What no skill may do</w:t>
      </w:r>
    </w:p>
    <w:p>
      <w:pPr>
        <w:pStyle w:val="ListParagraph"/>
        <w:numPr>
          <w:ilvl w:val="0"/>
          <w:numId w:val="3"/>
        </w:numPr>
        <w:spacing w:after="60" w:line="276"/>
      </w:pPr>
      <w:r>
        <w:rPr>
          <w:rFonts w:ascii="Calibri" w:cs="Calibri" w:eastAsia="Calibri" w:hAnsi="Calibri"/>
          <w:color w:val="1A1A1A"/>
          <w:sz w:val="22"/>
          <w:szCs w:val="22"/>
        </w:rPr>
        <w:t xml:space="preserve">Decide anything on the reserved list above.</w:t>
      </w:r>
    </w:p>
    <w:p>
      <w:pPr>
        <w:pStyle w:val="ListParagraph"/>
        <w:numPr>
          <w:ilvl w:val="0"/>
          <w:numId w:val="3"/>
        </w:numPr>
        <w:spacing w:after="60" w:line="276"/>
      </w:pPr>
      <w:r>
        <w:rPr>
          <w:rFonts w:ascii="Calibri" w:cs="Calibri" w:eastAsia="Calibri" w:hAnsi="Calibri"/>
          <w:color w:val="1A1A1A"/>
          <w:sz w:val="22"/>
          <w:szCs w:val="22"/>
        </w:rPr>
        <w:t xml:space="preserve">Claim capability that is not running. Every run record carries backend: real | stub; a stub run never moves a status.</w:t>
      </w:r>
    </w:p>
    <w:p>
      <w:pPr>
        <w:pStyle w:val="ListParagraph"/>
        <w:numPr>
          <w:ilvl w:val="0"/>
          <w:numId w:val="3"/>
        </w:numPr>
        <w:spacing w:after="60" w:line="276"/>
      </w:pPr>
      <w:r>
        <w:rPr>
          <w:rFonts w:ascii="Calibri" w:cs="Calibri" w:eastAsia="Calibri" w:hAnsi="Calibri"/>
          <w:color w:val="1A1A1A"/>
          <w:sz w:val="22"/>
          <w:szCs w:val="22"/>
        </w:rPr>
        <w:t xml:space="preserve">State what the record cannot support. Receipts and classes on every figure; unmeasured territory shown as unmeasured; correlation recorded as correlation.</w:t>
      </w:r>
    </w:p>
    <w:p>
      <w:pPr>
        <w:pStyle w:val="ListParagraph"/>
        <w:numPr>
          <w:ilvl w:val="0"/>
          <w:numId w:val="3"/>
        </w:numPr>
        <w:spacing w:after="60" w:line="276"/>
      </w:pPr>
      <w:r>
        <w:rPr>
          <w:rFonts w:ascii="Calibri" w:cs="Calibri" w:eastAsia="Calibri" w:hAnsi="Calibri"/>
          <w:color w:val="1A1A1A"/>
          <w:sz w:val="22"/>
          <w:szCs w:val="22"/>
        </w:rPr>
        <w:t xml:space="preserve">Sit in the action ladder or the Watch's path.</w:t>
      </w:r>
    </w:p>
    <w:p>
      <w:pPr>
        <w:pStyle w:val="Heading1"/>
        <w:spacing w:after="100" w:before="260"/>
      </w:pPr>
      <w:r>
        <w:rPr>
          <w:rFonts w:ascii="Cambria" w:cs="Cambria" w:eastAsia="Cambria" w:hAnsi="Cambria"/>
          <w:b/>
          <w:bCs/>
          <w:color w:val="1F2A44"/>
          <w:sz w:val="28"/>
          <w:szCs w:val="28"/>
        </w:rPr>
        <w:t xml:space="preserve">How each skill is proven</w:t>
      </w:r>
    </w:p>
    <w:p>
      <w:pPr>
        <w:spacing w:after="110" w:line="276"/>
      </w:pPr>
      <w:r>
        <w:rPr>
          <w:rFonts w:ascii="Calibri" w:cs="Calibri" w:eastAsia="Calibri" w:hAnsi="Calibri"/>
          <w:color w:val="1A1A1A"/>
          <w:sz w:val="22"/>
          <w:szCs w:val="22"/>
        </w:rPr>
        <w:t xml:space="preserve">A fixture commission exercising the whole path; the domain's reproducibility test; a revision test showing the design preserved; a strike test showing release blocked pending re-verdict; conformance to the declared template version; and evals covering success and failure: missing evidence, unavailable backend, interrupted execution, stale assumption, and a request exceeding the skill's authority. A skill without these is not done.</w:t>
      </w:r>
    </w:p>
    <w:p>
      <w:pPr>
        <w:pStyle w:val="Heading1"/>
        <w:spacing w:after="100" w:before="260"/>
      </w:pPr>
      <w:r>
        <w:rPr>
          <w:rFonts w:ascii="Cambria" w:cs="Cambria" w:eastAsia="Cambria" w:hAnsi="Cambria"/>
          <w:b/>
          <w:bCs/>
          <w:color w:val="1F2A44"/>
          <w:sz w:val="28"/>
          <w:szCs w:val="28"/>
        </w:rPr>
        <w:t xml:space="preserve">What each delivery contains</w:t>
      </w:r>
    </w:p>
    <w:p>
      <w:pPr>
        <w:spacing w:after="110" w:line="276"/>
      </w:pPr>
      <w:r>
        <w:rPr>
          <w:rFonts w:ascii="Calibri" w:cs="Calibri" w:eastAsia="Calibri" w:hAnsi="Calibri"/>
          <w:color w:val="1A1A1A"/>
          <w:sz w:val="22"/>
          <w:szCs w:val="22"/>
        </w:rPr>
        <w:t xml:space="preserve">SKILL.md · references (the domain's judgment: brief, model grammar, libraries with examples, direction rules, permitted discretion, gates) · schemas · policy files · scripts (resolve, validate, produce, freeze, qa, build, revise) · fixtures · evals · template version declaration. doc-studio is the worked example of every item.</w:t>
      </w:r>
    </w:p>
    <w:p>
      <w:pPr>
        <w:pStyle w:val="Heading1"/>
        <w:spacing w:after="100" w:before="260"/>
      </w:pPr>
      <w:r>
        <w:rPr>
          <w:rFonts w:ascii="Cambria" w:cs="Cambria" w:eastAsia="Cambria" w:hAnsi="Cambria"/>
          <w:b/>
          <w:bCs/>
          <w:color w:val="1F2A44"/>
          <w:sz w:val="28"/>
          <w:szCs w:val="28"/>
        </w:rPr>
        <w:t xml:space="preserve">Sequence</w:t>
      </w:r>
    </w:p>
    <w:p>
      <w:pPr>
        <w:spacing w:after="110" w:line="276"/>
      </w:pPr>
      <w:r>
        <w:rPr>
          <w:rFonts w:ascii="Calibri" w:cs="Calibri" w:eastAsia="Calibri" w:hAnsi="Calibri"/>
          <w:color w:val="1A1A1A"/>
          <w:sz w:val="22"/>
          <w:szCs w:val="22"/>
        </w:rPr>
        <w:t xml:space="preserve">doc-studio is complete for v1 and installs at M6 under the rulings already issued. Training is next as the generalisation test: a runner instead of a renderer, a run record instead of a file, MOAC and the Owner as the acceptance seat, and a stub it must be honest about. The remaining pairs are independent and follow in whatever order the roadmap's milestones make them live.</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4"/>
      </w:pBdr>
      <w:jc w:val="center"/>
    </w:pPr>
    <w:r>
      <w:rPr>
        <w:color w:val="6E7687"/>
        <w:sz w:val="16"/>
        <w:szCs w:val="16"/>
      </w:rPr>
      <w:t xml:space="preserve">Akki OS · Skills brief · Final · Internal · page </w:t>
    </w:r>
    <w:r>
      <w:rPr>
        <w:color w:val="6E768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2026-09-30T16:20:13.939Z</dcterms:created>
  <dcterms:modified xsi:type="dcterms:W3CDTF">2026-09-30T16:20:13.940Z</dcterms:modified>
</cp:coreProperties>
</file>

<file path=docProps/custom.xml><?xml version="1.0" encoding="utf-8"?>
<Properties xmlns="http://schemas.openxmlformats.org/officeDocument/2006/custom-properties" xmlns:vt="http://schemas.openxmlformats.org/officeDocument/2006/docPropsVTypes"/>
</file>