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50"/>
      </w:pPr>
      <w:r>
        <w:rPr>
          <w:b/>
          <w:bCs/>
          <w:color w:val="18181B"/>
          <w:sz w:val="40"/>
          <w:szCs w:val="40"/>
        </w:rPr>
        <w:t xml:space="preserve">RMS Intelligence System</w:t>
      </w:r>
    </w:p>
    <w:p>
      <w:pPr>
        <w:pBdr>
          <w:bottom w:val="single" w:color="3F3F46" w:sz="14" w:space="6"/>
        </w:pBdr>
        <w:spacing w:after="40"/>
      </w:pPr>
      <w:r>
        <w:rPr>
          <w:color w:val="3F3F46"/>
          <w:sz w:val="27"/>
          <w:szCs w:val="27"/>
        </w:rPr>
        <w:t xml:space="preserve">Interface Specification</w:t>
      </w:r>
    </w:p>
    <w:p>
      <w:pPr>
        <w:spacing w:after="30" w:before="200"/>
      </w:pPr>
      <w:r>
        <w:rPr>
          <w:color w:val="475569"/>
          <w:sz w:val="20"/>
          <w:szCs w:val="20"/>
        </w:rPr>
        <w:t xml:space="preserve">The concrete interface: the single entry and its sign-in routing, the layout and behaviour of each surface, how the three trace lenses render, how defensibility and refusal appear, and the integration surface with its response contract. The companion to the UX Architecture Specification, which it realises and which prevails on experience matters.</w:t>
      </w:r>
    </w:p>
    <w:p>
      <w:pPr>
        <w:spacing w:after="30"/>
      </w:pPr>
      <w:r>
        <w:rPr>
          <w:color w:val="475569"/>
          <w:sz w:val="19"/>
          <w:szCs w:val="19"/>
        </w:rPr>
        <w:t xml:space="preserve">Version 1.0  ·  consistent with the UX Architecture Specification and the Product &amp; Engineering Specification v2.1.</w:t>
      </w:r>
    </w:p>
    <w:p>
      <w:pPr>
        <w:spacing w:after="480"/>
      </w:pPr>
      <w:r>
        <w:rPr>
          <w:i/>
          <w:iCs/>
          <w:color w:val="6B7280"/>
          <w:sz w:val="18"/>
          <w:szCs w:val="18"/>
        </w:rPr>
        <w:t xml:space="preserve">Prepared by Syni.ai for Royal Media Services  ·  July 2026  ·  Confidential</w:t>
      </w:r>
    </w:p>
    <w:p>
      <w:pPr>
        <w:spacing w:after="140" w:line="264"/>
      </w:pPr>
      <w:r>
        <w:rPr>
          <w:sz w:val="20"/>
          <w:szCs w:val="20"/>
        </w:rPr>
        <w:t xml:space="preserve">This document specifies the concrete interface. It defines the single entry and the sign-in routing that resolves each user to their surface, the layout and behaviour of each surface, the rendering of the three trace lenses, the appearance of the defensibility class and the refusal, and the integration surface’s response contract. It is a forward specification: it states what the interface must be, and does not assume one has been built. It realises the UX Architecture Specification and defers to it on experience matters. The first surface to build is the entry and its routing (§5); the surfaces behind it are specified here and built as each is reached — the specification is complete; the build is staged.</w:t>
      </w:r>
    </w:p>
    <w:p>
      <w:r>
        <w:br w:type="page"/>
      </w:r>
    </w:p>
    <w:p>
      <w:pPr>
        <w:spacing w:after="120"/>
      </w:pPr>
      <w:r>
        <w:rPr>
          <w:b/>
          <w:bCs/>
          <w:color w:val="18181B"/>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A16207" w:sz="18" w:space="10"/>
        </w:pBdr>
        <w:shd w:fill="3F3F46" w:val="clear"/>
        <w:spacing w:after="130" w:before="260"/>
      </w:pPr>
      <w:r>
        <w:rPr>
          <w:b/>
          <w:bCs/>
          <w:color w:val="FFFFFF"/>
          <w:sz w:val="24"/>
          <w:szCs w:val="24"/>
        </w:rPr>
        <w:t xml:space="preserve">Part I — The Interface Model</w:t>
      </w:r>
    </w:p>
    <w:p>
      <w:pPr>
        <w:pStyle w:val="Heading1"/>
      </w:pPr>
      <w:r>
        <w:t xml:space="preserve">1.  One Entry, Routed by Sign-In</w:t>
      </w:r>
    </w:p>
    <w:p>
      <w:pPr>
        <w:spacing w:after="140" w:line="264"/>
      </w:pPr>
      <w:r>
        <w:t xml:space="preserve">The interface has a single entry — one public landing — and sign-in routes each authenticated user to their surface. Role differentiation is a routing concern, not a layout concern: the landing makes one promise legible to everyone, and the account behind the sign-in is where the role-specific surface lives. There is no separate landing per user; there is one landing and six destinations.</w:t>
      </w:r>
    </w:p>
    <w:p>
      <w:pPr>
        <w:pStyle w:val="Heading1"/>
      </w:pPr>
      <w:r>
        <w:t xml:space="preserve">2.  Interface Principles</w:t>
      </w:r>
    </w:p>
    <w:p>
      <w:pPr>
        <w:spacing w:after="140" w:line="264"/>
      </w:pPr>
      <w:r>
        <w:t xml:space="preserve">Four principles govern every surface. They are the concrete expression of the UX Architecture’s trust model.</w:t>
      </w:r>
    </w:p>
    <w:p>
      <w:pPr>
        <w:pStyle w:val="ListParagraph"/>
        <w:numPr>
          <w:ilvl w:val="0"/>
          <w:numId w:val="2"/>
        </w:numPr>
        <w:spacing w:after="70" w:line="258"/>
      </w:pPr>
      <w:r>
        <w:rPr>
          <w:b/>
          <w:bCs/>
        </w:rPr>
        <w:t xml:space="preserve">Calm by default, depth on reach. </w:t>
      </w:r>
      <w:r>
        <w:t xml:space="preserve">Every surface opens at its shallowest, most legible state. Detail — the reasoning, the record, the underlying data — appears when the user reaches for it, never imposed on arrival.</w:t>
      </w:r>
    </w:p>
    <w:p>
      <w:pPr>
        <w:pStyle w:val="ListParagraph"/>
        <w:numPr>
          <w:ilvl w:val="0"/>
          <w:numId w:val="2"/>
        </w:numPr>
        <w:spacing w:after="70" w:line="258"/>
      </w:pPr>
      <w:r>
        <w:rPr>
          <w:b/>
          <w:bCs/>
        </w:rPr>
        <w:t xml:space="preserve">The class is always present. </w:t>
      </w:r>
      <w:r>
        <w:t xml:space="preserve">Wherever a unit of intelligence appears, its defensibility class appears with it, in plain language. No surface renders a claim without its class.</w:t>
      </w:r>
    </w:p>
    <w:p>
      <w:pPr>
        <w:pStyle w:val="ListParagraph"/>
        <w:numPr>
          <w:ilvl w:val="0"/>
          <w:numId w:val="2"/>
        </w:numPr>
        <w:spacing w:after="70" w:line="258"/>
      </w:pPr>
      <w:r>
        <w:rPr>
          <w:b/>
          <w:bCs/>
        </w:rPr>
        <w:t xml:space="preserve">One thread throughout. </w:t>
      </w:r>
      <w:r>
        <w:t xml:space="preserve">A single trace_id joins an answer to its reasoning, its record, and its API response. Every ‘go deeper’ action follows that thread; the user never re-finds an answer in another surface.</w:t>
      </w:r>
    </w:p>
    <w:p>
      <w:pPr>
        <w:pStyle w:val="ListParagraph"/>
        <w:numPr>
          <w:ilvl w:val="0"/>
          <w:numId w:val="2"/>
        </w:numPr>
        <w:spacing w:after="70" w:line="258"/>
      </w:pPr>
      <w:r>
        <w:rPr>
          <w:b/>
          <w:bCs/>
        </w:rPr>
        <w:t xml:space="preserve">A refusal is a first-class result. </w:t>
      </w:r>
      <w:r>
        <w:t xml:space="preserve">The interface renders a refusal-below-floor as an explained state with a path forward — never an empty result and never a silent downgrade.</w:t>
      </w:r>
    </w:p>
    <w:p>
      <w:pPr>
        <w:pStyle w:val="Heading1"/>
      </w:pPr>
      <w:r>
        <w:t xml:space="preserve">3.  The Surface Inventory</w:t>
      </w:r>
    </w:p>
    <w:p>
      <w:pPr>
        <w:spacing w:after="140" w:line="264"/>
      </w:pPr>
      <w:r>
        <w:t xml:space="preserve">Six surfaces sit behind the single entry, one per user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Surface</w:t>
            </w:r>
          </w:p>
        </w:tc>
        <w:tc>
          <w:tcPr>
            <w:tcW w:type="dxa" w:w="701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Realises</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Decisions console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RMS decision-maker’s ask-and-answer experience; the unit and reasoning lenses.</w:t>
            </w:r>
          </w:p>
        </w:tc>
      </w:tr>
      <w:tr>
        <w:tc>
          <w:tcPr>
            <w:tcW w:type="dxa" w:w="235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Product surface</w:t>
            </w:r>
          </w:p>
        </w:tc>
        <w:tc>
          <w:tcPr>
            <w:tcW w:type="dxa" w:w="701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The external buyer’s product-and-guarantee experience.</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Integration surface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engineer’s keys, endpoints, and response contract; the two paths.</w:t>
            </w:r>
          </w:p>
        </w:tc>
      </w:tr>
      <w:tr>
        <w:tc>
          <w:tcPr>
            <w:tcW w:type="dxa" w:w="235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Operator surface</w:t>
            </w:r>
          </w:p>
        </w:tc>
        <w:tc>
          <w:tcPr>
            <w:tcW w:type="dxa" w:w="701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The operator’s exception-first monitoring.</w:t>
            </w:r>
          </w:p>
        </w:tc>
      </w:tr>
      <w:tr>
        <w:tc>
          <w:tcPr>
            <w:tcW w:type="dxa" w:w="2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Governance surface</w:t>
            </w:r>
          </w:p>
        </w:tc>
        <w:tc>
          <w:tcPr>
            <w:tcW w:type="dxa" w:w="70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DPO’s accountable record; the audit lens at system scope.</w:t>
            </w:r>
          </w:p>
        </w:tc>
      </w:tr>
      <w:tr>
        <w:tc>
          <w:tcPr>
            <w:tcW w:type="dxa" w:w="235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Control surface</w:t>
            </w:r>
          </w:p>
        </w:tc>
        <w:tc>
          <w:tcPr>
            <w:tcW w:type="dxa" w:w="701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The super-admin’s guarded high-privilege functions.</w:t>
            </w:r>
          </w:p>
        </w:tc>
      </w:tr>
    </w:tbl>
    <w:p>
      <w:r>
        <w:br w:type="page"/>
      </w:r>
    </w:p>
    <w:p>
      <w:pPr>
        <w:pBdr>
          <w:left w:val="single" w:color="A16207" w:sz="18" w:space="10"/>
        </w:pBdr>
        <w:shd w:fill="3F3F46" w:val="clear"/>
        <w:spacing w:after="130" w:before="260"/>
      </w:pPr>
      <w:r>
        <w:rPr>
          <w:b/>
          <w:bCs/>
          <w:color w:val="FFFFFF"/>
          <w:sz w:val="24"/>
          <w:szCs w:val="24"/>
        </w:rPr>
        <w:t xml:space="preserve">Part II — The Entry and Routing</w:t>
      </w:r>
    </w:p>
    <w:p>
      <w:pPr>
        <w:pStyle w:val="Heading1"/>
      </w:pPr>
      <w:r>
        <w:t xml:space="preserve">4.  The Landing</w:t>
      </w:r>
    </w:p>
    <w:p>
      <w:pPr>
        <w:spacing w:after="140" w:line="264"/>
      </w:pPr>
      <w:r>
        <w:t xml:space="preserve">The landing is one page. Its single job is to make the promise legible — governed intelligence you can act on and defend — and to present one action: sign in. It states what the system is in terms that read true to every user, and it does not attempt to serve any role’s working experience; that is behind the sign-in. The one design constraint load-bearing on the landing is that the promise it makes legible is governance, not raw power: what distinguishes the system is that its intelligence is defensible, and the landing must make that felt before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Landing element</w:t>
            </w:r>
          </w:p>
        </w:tc>
        <w:tc>
          <w:tcPr>
            <w:tcW w:type="dxa" w:w="676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Purpose</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promise line</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States, plainly, that the system delivers intelligence that is honest about how far it can be trusted.</w:t>
            </w:r>
          </w:p>
        </w:tc>
      </w:tr>
      <w:tr>
        <w:tc>
          <w:tcPr>
            <w:tcW w:type="dxa" w:w="26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The trust signal</w:t>
            </w:r>
          </w:p>
        </w:tc>
        <w:tc>
          <w:tcPr>
            <w:tcW w:type="dxa" w:w="67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Makes the governance felt — that every answer carries its own defensibility — without explaining the machinery.</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Sign in</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single action. Resolves identity and routes to the user’s surface.</w:t>
            </w:r>
          </w:p>
        </w:tc>
      </w:tr>
    </w:tbl>
    <w:p>
      <w:pPr>
        <w:pStyle w:val="Heading1"/>
      </w:pPr>
      <w:r>
        <w:t xml:space="preserve">5.  Sign-In and Routing</w:t>
      </w:r>
    </w:p>
    <w:p>
      <w:pPr>
        <w:spacing w:after="140" w:line="264"/>
      </w:pPr>
      <w:r>
        <w:t xml:space="preserve">Sign-in resolves the user’s identity and role and routes to the corresponding surface. Routing is deterministic on role; a user with more than one role is routed to a chooser, not shown a merged surface. The routing is the first thing built — the entry and the resolution to a surface — because it is the spine every other surface hangs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3F3F46"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routing — deterministic on resolved role (behavioural)</w:t>
            </w:r>
          </w:p>
          <w:p>
            <w:pPr>
              <w:spacing w:after="0" w:line="234"/>
            </w:pPr>
            <w:r>
              <w:rPr>
                <w:rFonts w:ascii="Consolas" w:cs="Consolas" w:eastAsia="Consolas" w:hAnsi="Consolas"/>
                <w:color w:val="1F2733"/>
                <w:sz w:val="16"/>
                <w:szCs w:val="16"/>
              </w:rPr>
              <w:t xml:space="preserve">on sign_in(identity) -&gt; Surface:</w:t>
            </w:r>
          </w:p>
          <w:p>
            <w:pPr>
              <w:spacing w:after="0" w:line="234"/>
            </w:pPr>
            <w:r>
              <w:rPr>
                <w:rFonts w:ascii="Consolas" w:cs="Consolas" w:eastAsia="Consolas" w:hAnsi="Consolas"/>
                <w:color w:val="1F2733"/>
                <w:sz w:val="16"/>
                <w:szCs w:val="16"/>
              </w:rPr>
              <w:t xml:space="preserve">    role = resolve_role(identity)          # from access authority</w:t>
            </w:r>
          </w:p>
          <w:p>
            <w:pPr>
              <w:spacing w:after="0" w:line="234"/>
            </w:pPr>
            <w:r>
              <w:rPr>
                <w:rFonts w:ascii="Consolas" w:cs="Consolas" w:eastAsia="Consolas" w:hAnsi="Consolas"/>
                <w:color w:val="1F2733"/>
                <w:sz w:val="16"/>
                <w:szCs w:val="16"/>
              </w:rPr>
              <w:t xml:space="preserve">    return {</w:t>
            </w:r>
          </w:p>
          <w:p>
            <w:pPr>
              <w:spacing w:after="0" w:line="234"/>
            </w:pPr>
            <w:r>
              <w:rPr>
                <w:rFonts w:ascii="Consolas" w:cs="Consolas" w:eastAsia="Consolas" w:hAnsi="Consolas"/>
                <w:color w:val="1F2733"/>
                <w:sz w:val="16"/>
                <w:szCs w:val="16"/>
              </w:rPr>
              <w:t xml:space="preserve">        'decision_maker': DecisionsConsole,</w:t>
            </w:r>
          </w:p>
          <w:p>
            <w:pPr>
              <w:spacing w:after="0" w:line="234"/>
            </w:pPr>
            <w:r>
              <w:rPr>
                <w:rFonts w:ascii="Consolas" w:cs="Consolas" w:eastAsia="Consolas" w:hAnsi="Consolas"/>
                <w:color w:val="1F2733"/>
                <w:sz w:val="16"/>
                <w:szCs w:val="16"/>
              </w:rPr>
              <w:t xml:space="preserve">        'buyer':          ProductSurface,</w:t>
            </w:r>
          </w:p>
          <w:p>
            <w:pPr>
              <w:spacing w:after="0" w:line="234"/>
            </w:pPr>
            <w:r>
              <w:rPr>
                <w:rFonts w:ascii="Consolas" w:cs="Consolas" w:eastAsia="Consolas" w:hAnsi="Consolas"/>
                <w:color w:val="1F2733"/>
                <w:sz w:val="16"/>
                <w:szCs w:val="16"/>
              </w:rPr>
              <w:t xml:space="preserve">        'engineer':       IntegrationSurface,</w:t>
            </w:r>
          </w:p>
          <w:p>
            <w:pPr>
              <w:spacing w:after="0" w:line="234"/>
            </w:pPr>
            <w:r>
              <w:rPr>
                <w:rFonts w:ascii="Consolas" w:cs="Consolas" w:eastAsia="Consolas" w:hAnsi="Consolas"/>
                <w:color w:val="1F2733"/>
                <w:sz w:val="16"/>
                <w:szCs w:val="16"/>
              </w:rPr>
              <w:t xml:space="preserve">        'operator':       OperatorSurface,</w:t>
            </w:r>
          </w:p>
          <w:p>
            <w:pPr>
              <w:spacing w:after="0" w:line="234"/>
            </w:pPr>
            <w:r>
              <w:rPr>
                <w:rFonts w:ascii="Consolas" w:cs="Consolas" w:eastAsia="Consolas" w:hAnsi="Consolas"/>
                <w:color w:val="1F2733"/>
                <w:sz w:val="16"/>
                <w:szCs w:val="16"/>
              </w:rPr>
              <w:t xml:space="preserve">        'dpo':            GovernanceSurface,</w:t>
            </w:r>
          </w:p>
          <w:p>
            <w:pPr>
              <w:spacing w:after="0" w:line="234"/>
            </w:pPr>
            <w:r>
              <w:rPr>
                <w:rFonts w:ascii="Consolas" w:cs="Consolas" w:eastAsia="Consolas" w:hAnsi="Consolas"/>
                <w:color w:val="1F2733"/>
                <w:sz w:val="16"/>
                <w:szCs w:val="16"/>
              </w:rPr>
              <w:t xml:space="preserve">        'super_admin':    ControlSurface,</w:t>
            </w:r>
          </w:p>
          <w:p>
            <w:pPr>
              <w:spacing w:after="0" w:line="234"/>
            </w:pPr>
            <w:r>
              <w:rPr>
                <w:rFonts w:ascii="Consolas" w:cs="Consolas" w:eastAsia="Consolas" w:hAnsi="Consolas"/>
                <w:color w:val="1F2733"/>
                <w:sz w:val="16"/>
                <w:szCs w:val="16"/>
              </w:rPr>
              <w:t xml:space="preserve">    }[role]                                # multi-role -&gt; role chooser</w:t>
            </w:r>
          </w:p>
        </w:tc>
      </w:tr>
    </w:tbl>
    <w:p>
      <w:r>
        <w:br w:type="page"/>
      </w:r>
    </w:p>
    <w:p>
      <w:pPr>
        <w:pBdr>
          <w:left w:val="single" w:color="A16207" w:sz="18" w:space="10"/>
        </w:pBdr>
        <w:shd w:fill="3F3F46" w:val="clear"/>
        <w:spacing w:after="130" w:before="260"/>
      </w:pPr>
      <w:r>
        <w:rPr>
          <w:b/>
          <w:bCs/>
          <w:color w:val="FFFFFF"/>
          <w:sz w:val="24"/>
          <w:szCs w:val="24"/>
        </w:rPr>
        <w:t xml:space="preserve">Part III — The Consumption Interfaces</w:t>
      </w:r>
    </w:p>
    <w:p>
      <w:pPr>
        <w:pStyle w:val="Heading1"/>
      </w:pPr>
      <w:r>
        <w:t xml:space="preserve">6.  The Decisions Console</w:t>
      </w:r>
    </w:p>
    <w:p>
      <w:pPr>
        <w:spacing w:after="140" w:line="264"/>
      </w:pPr>
      <w:r>
        <w:t xml:space="preserve">The decisions console is where the RMS decision-maker asks and receives. It opens on a single, quiet prompt — what do you need to know — not a dashboard. An answer returns as intelligence in plain terms with its defensibility class shown as the one trust signal; the reasoning and the record are one reach away, not on the screen by default. The console never asks the decision-maker to think as an analyst; the depth is available, and absent until wanted.</w:t>
      </w:r>
    </w:p>
    <w:p>
      <w:pPr>
        <w:pStyle w:val="Heading3"/>
      </w:pPr>
      <w:r>
        <w:t xml:space="preserve">Composing the objective</w:t>
      </w:r>
    </w:p>
    <w:p>
      <w:pPr>
        <w:spacing w:after="140" w:line="264"/>
      </w:pPr>
      <w:r>
        <w:t xml:space="preserve">The decision-maker states a need in plain language. The interface composes that into the governed Objective Request beneath the surface — the objective, the required defensibility floor, the scope, the lawful basis — without making the user assemble those fields by hand. Where the floor or scope needs a choice, the interface asks one plain question, not a form; the composition into the frozen request is the system’s work, admitted by Northena, not the user’s.</w:t>
      </w:r>
    </w:p>
    <w:p>
      <w:pPr>
        <w:pStyle w:val="Heading1"/>
      </w:pPr>
      <w:r>
        <w:t xml:space="preserve">7.  Rendering the Three Lenses</w:t>
      </w:r>
    </w:p>
    <w:p>
      <w:pPr>
        <w:spacing w:after="140" w:line="264"/>
      </w:pPr>
      <w:r>
        <w:t xml:space="preserve">The three trace lenses render as one progressive view, not three tabs. The unit lens is the default; the reasoning and audit lenses are reached in place, deepening the same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Lens</w:t>
            </w:r>
          </w:p>
        </w:tc>
        <w:tc>
          <w:tcPr>
            <w:tcW w:type="dxa" w:w="726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Renders as</w:t>
            </w:r>
          </w:p>
        </w:tc>
      </w:tr>
      <w:tr>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Unit</w:t>
            </w:r>
          </w:p>
        </w:tc>
        <w:tc>
          <w:tcPr>
            <w:tcW w:type="dxa" w:w="7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claim in plain terms, its defensibility class as the headline trust signal, and provenance one reach away. The default view.</w:t>
            </w:r>
          </w:p>
        </w:tc>
      </w:tr>
      <w:tr>
        <w:tc>
          <w:tcPr>
            <w:tcW w:type="dxa" w:w="21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Reasoning</w:t>
            </w:r>
          </w:p>
        </w:tc>
        <w:tc>
          <w:tcPr>
            <w:tcW w:type="dxa" w:w="72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On reach: the load-bearing units, what was corroborated / contradicted / retracted, and why the answer was asserted at its class. The shape of the judgment, not model internals.</w:t>
            </w:r>
          </w:p>
        </w:tc>
      </w:tr>
      <w:tr>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Audit</w:t>
            </w:r>
          </w:p>
        </w:tc>
        <w:tc>
          <w:tcPr>
            <w:tcW w:type="dxa" w:w="7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On reach: provenance, the governed verdict and its Matrix rule, the lawful basis, and the Ledger entry. The same record the DPO sees.</w:t>
            </w:r>
          </w:p>
        </w:tc>
      </w:tr>
    </w:tbl>
    <w:p>
      <w:pPr>
        <w:pBdr>
          <w:top w:val="single" w:color="3F3F46" w:sz="4" w:space="6"/>
          <w:left w:val="single" w:color="3F3F46" w:sz="14" w:space="8"/>
          <w:bottom w:val="single" w:color="3F3F46" w:sz="4" w:space="6"/>
          <w:right w:val="single" w:color="3F3F46" w:sz="4" w:space="6"/>
        </w:pBdr>
        <w:shd w:fill="F4F4F5" w:val="clear"/>
        <w:spacing w:after="140" w:before="60"/>
      </w:pPr>
      <w:r>
        <w:rPr>
          <w:b/>
          <w:bCs/>
          <w:color w:val="3F3F46"/>
        </w:rPr>
        <w:t xml:space="preserve">The thread, in the interface.  </w:t>
      </w:r>
      <w:r>
        <w:t xml:space="preserve">Each deeper lens is reached from the answer itself, following its trace_id — not by navigating to another screen and re-finding the answer. A decision-maker moving from the claim to why-this-answer to the full record stays on one continuous surface; the DPO opening the same trace_id in the governance surface sees the identical record.</w:t>
      </w:r>
    </w:p>
    <w:p>
      <w:pPr>
        <w:pStyle w:val="Heading1"/>
      </w:pPr>
      <w:r>
        <w:t xml:space="preserve">8.  Rendering Class and Refusal</w:t>
      </w:r>
    </w:p>
    <w:p>
      <w:pPr>
        <w:pStyle w:val="Heading3"/>
      </w:pPr>
      <w:r>
        <w:t xml:space="preserve">The defensibility class</w:t>
      </w:r>
    </w:p>
    <w:p>
      <w:pPr>
        <w:spacing w:after="140" w:line="264"/>
      </w:pPr>
      <w:r>
        <w:t xml:space="preserve">The class renders in plain language as what the claim may be asserted as: an established fact, a recorded statement (‘X stated …’), or non-factual context. It is the headline of the answer, not a badge in a corner and not a numeric score. It is never suppressed to make an answer read stronger, and never expanded into a false-precision figure.</w:t>
      </w:r>
    </w:p>
    <w:p>
      <w:pPr>
        <w:pStyle w:val="Heading3"/>
      </w:pPr>
      <w:r>
        <w:t xml:space="preserve">The refusal-below-floor</w:t>
      </w:r>
    </w:p>
    <w:p>
      <w:pPr>
        <w:spacing w:after="140" w:line="264"/>
      </w:pPr>
      <w:r>
        <w:t xml:space="preserve">When the available intelligence cannot meet the required floor, the interface renders a refusal as a complete, explained state: what was asked, that the answer would fall below the required standard, the class the available evidence actually supports, and what would raise it. The refusal occupies the answer position — it is the answer — rendered with the same care as an affirmative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3F3F46"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refusal state (behavioural)</w:t>
            </w:r>
          </w:p>
          <w:p>
            <w:pPr>
              <w:spacing w:after="0" w:line="234"/>
            </w:pPr>
            <w:r>
              <w:rPr>
                <w:rFonts w:ascii="Consolas" w:cs="Consolas" w:eastAsia="Consolas" w:hAnsi="Consolas"/>
                <w:color w:val="1F2733"/>
                <w:sz w:val="16"/>
                <w:szCs w:val="16"/>
              </w:rPr>
              <w:t xml:space="preserve">Refusal:</w:t>
            </w:r>
          </w:p>
          <w:p>
            <w:pPr>
              <w:spacing w:after="0" w:line="234"/>
            </w:pPr>
            <w:r>
              <w:rPr>
                <w:rFonts w:ascii="Consolas" w:cs="Consolas" w:eastAsia="Consolas" w:hAnsi="Consolas"/>
                <w:color w:val="1F2733"/>
                <w:sz w:val="16"/>
                <w:szCs w:val="16"/>
              </w:rPr>
              <w:t xml:space="preserve">  headline:  'Not to the standard you required.'</w:t>
            </w:r>
          </w:p>
          <w:p>
            <w:pPr>
              <w:spacing w:after="0" w:line="234"/>
            </w:pPr>
            <w:r>
              <w:rPr>
                <w:rFonts w:ascii="Consolas" w:cs="Consolas" w:eastAsia="Consolas" w:hAnsi="Consolas"/>
                <w:color w:val="1F2733"/>
                <w:sz w:val="16"/>
                <w:szCs w:val="16"/>
              </w:rPr>
              <w:t xml:space="preserve">  asked:     &lt;objective + required floor, in plain terms&gt;</w:t>
            </w:r>
          </w:p>
          <w:p>
            <w:pPr>
              <w:spacing w:after="0" w:line="234"/>
            </w:pPr>
            <w:r>
              <w:rPr>
                <w:rFonts w:ascii="Consolas" w:cs="Consolas" w:eastAsia="Consolas" w:hAnsi="Consolas"/>
                <w:color w:val="1F2733"/>
                <w:sz w:val="16"/>
                <w:szCs w:val="16"/>
              </w:rPr>
              <w:t xml:space="preserve">  supported: &lt;the class the evidence supports, e.g. 'recorded statement'&gt;</w:t>
            </w:r>
          </w:p>
          <w:p>
            <w:pPr>
              <w:spacing w:after="0" w:line="234"/>
            </w:pPr>
            <w:r>
              <w:rPr>
                <w:rFonts w:ascii="Consolas" w:cs="Consolas" w:eastAsia="Consolas" w:hAnsi="Consolas"/>
                <w:color w:val="1F2733"/>
                <w:sz w:val="16"/>
                <w:szCs w:val="16"/>
              </w:rPr>
              <w:t xml:space="preserve">  to_raise:  &lt;what would lift it: corroboration / accountable source&gt;</w:t>
            </w:r>
          </w:p>
          <w:p>
            <w:pPr>
              <w:spacing w:after="0" w:line="234"/>
            </w:pPr>
            <w:r>
              <w:rPr>
                <w:rFonts w:ascii="Consolas" w:cs="Consolas" w:eastAsia="Consolas" w:hAnsi="Consolas"/>
                <w:color w:val="1F2733"/>
                <w:sz w:val="16"/>
                <w:szCs w:val="16"/>
              </w:rPr>
              <w:t xml:space="preserve">  # occupies the answer position; never an empty result, never silent.</w:t>
            </w:r>
          </w:p>
        </w:tc>
      </w:tr>
    </w:tbl>
    <w:p>
      <w:pPr>
        <w:pStyle w:val="Heading1"/>
      </w:pPr>
      <w:r>
        <w:t xml:space="preserve">9.  The Product Surface</w:t>
      </w:r>
    </w:p>
    <w:p>
      <w:pPr>
        <w:spacing w:after="140" w:line="264"/>
      </w:pPr>
      <w:r>
        <w:t xml:space="preserve">The product surface is the external buyer’s interface. It foregrounds the intelligence product — a dataset or a skill — and its guarantee, and shows none of the estate, the governors, or the extraction. The buyer sees what the product asserts, at what defensibility, under what rights; the unit lens is available so any item can be inspected to its class and provenance, but the reasoning and audit internals of the estate are not the buyer’s surface. Delivery is experienced as either live access (inner-gate) or a governed acquisition (outer-gate), per §13.</w:t>
      </w:r>
    </w:p>
    <w:p>
      <w:r>
        <w:br w:type="page"/>
      </w:r>
    </w:p>
    <w:p>
      <w:pPr>
        <w:pBdr>
          <w:left w:val="single" w:color="A16207" w:sz="18" w:space="10"/>
        </w:pBdr>
        <w:shd w:fill="3F3F46" w:val="clear"/>
        <w:spacing w:after="130" w:before="260"/>
      </w:pPr>
      <w:r>
        <w:rPr>
          <w:b/>
          <w:bCs/>
          <w:color w:val="FFFFFF"/>
          <w:sz w:val="24"/>
          <w:szCs w:val="24"/>
        </w:rPr>
        <w:t xml:space="preserve">Part IV — The Integration Interface</w:t>
      </w:r>
    </w:p>
    <w:p>
      <w:pPr>
        <w:pStyle w:val="Heading1"/>
      </w:pPr>
      <w:r>
        <w:t xml:space="preserve">10.  The Developer Surface</w:t>
      </w:r>
    </w:p>
    <w:p>
      <w:pPr>
        <w:spacing w:after="140" w:line="264"/>
      </w:pPr>
      <w:r>
        <w:t xml:space="preserve">The integration surface is the engineer’s interface: a developer landing with self-serve key generation, scoped keys, endpoint documentation, and the response contract. It foregrounds the response shape, because that is where governance lives for a programmatic consumer — the class travels inline with the claim, and cannot be requested away.</w:t>
      </w:r>
    </w:p>
    <w:p>
      <w:pPr>
        <w:pStyle w:val="Heading3"/>
      </w:pPr>
      <w:r>
        <w:t xml:space="preserve">Keys and scope</w:t>
      </w:r>
    </w:p>
    <w:p>
      <w:pPr>
        <w:spacing w:after="140" w:line="264"/>
      </w:pPr>
      <w:r>
        <w:t xml:space="preserve">Keys are self-serve and scoped. A productization key grants live query through the inner gate; a data-buying key grants governed extract through the outer gate, and carries the rights and disclosure scope the buyer is entitled to. The scope is enforced server-side at every call; a key cannot exceed its scope by any client-side action.</w:t>
      </w:r>
    </w:p>
    <w:p>
      <w:pPr>
        <w:pStyle w:val="Heading1"/>
      </w:pPr>
      <w:r>
        <w:t xml:space="preserve">11.  The Response Contract — Governance Inline</w:t>
      </w:r>
    </w:p>
    <w:p>
      <w:pPr>
        <w:spacing w:after="140" w:line="264"/>
      </w:pPr>
      <w:r>
        <w:t xml:space="preserve">Every response returns the claim and its defensibility inline, inseparably. The class is a field of the same object as the claim, not a separate optional block; the floor is enforced before the response is formed, not offered as a client-side filter; the trace_id is returned so the response can be reconciled to its record. A consumer cannot take the claim without its class, because they are one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3F3F46"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live response contract (productization / inner-gate)</w:t>
            </w:r>
          </w:p>
          <w:p>
            <w:pPr>
              <w:spacing w:after="0" w:line="234"/>
            </w:pPr>
            <w:r>
              <w:rPr>
                <w:rFonts w:ascii="Consolas" w:cs="Consolas" w:eastAsia="Consolas" w:hAnsi="Consolas"/>
                <w:color w:val="1F2733"/>
                <w:sz w:val="16"/>
                <w:szCs w:val="16"/>
              </w:rPr>
              <w:t xml:space="preserve">{</w:t>
            </w:r>
          </w:p>
          <w:p>
            <w:pPr>
              <w:spacing w:after="0" w:line="234"/>
            </w:pPr>
            <w:r>
              <w:rPr>
                <w:rFonts w:ascii="Consolas" w:cs="Consolas" w:eastAsia="Consolas" w:hAnsi="Consolas"/>
                <w:color w:val="1F2733"/>
                <w:sz w:val="16"/>
                <w:szCs w:val="16"/>
              </w:rPr>
              <w:t xml:space="preserve">  'trace_id': '…',                 # reconciles to the audit record</w:t>
            </w:r>
          </w:p>
          <w:p>
            <w:pPr>
              <w:spacing w:after="0" w:line="234"/>
            </w:pPr>
            <w:r>
              <w:rPr>
                <w:rFonts w:ascii="Consolas" w:cs="Consolas" w:eastAsia="Consolas" w:hAnsi="Consolas"/>
                <w:color w:val="1F2733"/>
                <w:sz w:val="16"/>
                <w:szCs w:val="16"/>
              </w:rPr>
              <w:t xml:space="preserve">  'claim': '…',                    # the intelligence, in plain terms</w:t>
            </w:r>
          </w:p>
          <w:p>
            <w:pPr>
              <w:spacing w:after="0" w:line="234"/>
            </w:pPr>
            <w:r>
              <w:rPr>
                <w:rFonts w:ascii="Consolas" w:cs="Consolas" w:eastAsia="Consolas" w:hAnsi="Consolas"/>
                <w:color w:val="1F2733"/>
                <w:sz w:val="16"/>
                <w:szCs w:val="16"/>
              </w:rPr>
              <w:t xml:space="preserve">  'defensibility': {              # inline, inseparable from the claim</w:t>
            </w:r>
          </w:p>
          <w:p>
            <w:pPr>
              <w:spacing w:after="0" w:line="234"/>
            </w:pPr>
            <w:r>
              <w:rPr>
                <w:rFonts w:ascii="Consolas" w:cs="Consolas" w:eastAsia="Consolas" w:hAnsi="Consolas"/>
                <w:color w:val="1F2733"/>
                <w:sz w:val="16"/>
                <w:szCs w:val="16"/>
              </w:rPr>
              <w:t xml:space="preserve">     'class': 'fact|utterance|non_factual',</w:t>
            </w:r>
          </w:p>
          <w:p>
            <w:pPr>
              <w:spacing w:after="0" w:line="234"/>
            </w:pPr>
            <w:r>
              <w:rPr>
                <w:rFonts w:ascii="Consolas" w:cs="Consolas" w:eastAsia="Consolas" w:hAnsi="Consolas"/>
                <w:color w:val="1F2733"/>
                <w:sz w:val="16"/>
                <w:szCs w:val="16"/>
              </w:rPr>
              <w:t xml:space="preserve">     'claim_genre': '…',</w:t>
            </w:r>
          </w:p>
          <w:p>
            <w:pPr>
              <w:spacing w:after="0" w:line="234"/>
            </w:pPr>
            <w:r>
              <w:rPr>
                <w:rFonts w:ascii="Consolas" w:cs="Consolas" w:eastAsia="Consolas" w:hAnsi="Consolas"/>
                <w:color w:val="1F2733"/>
                <w:sz w:val="16"/>
                <w:szCs w:val="16"/>
              </w:rPr>
              <w:t xml:space="preserve">     'source_standing': '…',</w:t>
            </w:r>
          </w:p>
          <w:p>
            <w:pPr>
              <w:spacing w:after="0" w:line="234"/>
            </w:pPr>
            <w:r>
              <w:rPr>
                <w:rFonts w:ascii="Consolas" w:cs="Consolas" w:eastAsia="Consolas" w:hAnsi="Consolas"/>
                <w:color w:val="1F2733"/>
                <w:sz w:val="16"/>
                <w:szCs w:val="16"/>
              </w:rPr>
              <w:t xml:space="preserve">     'matrix_rule_ref': '…' },     # the governed verdict's rule</w:t>
            </w:r>
          </w:p>
          <w:p>
            <w:pPr>
              <w:spacing w:after="0" w:line="234"/>
            </w:pPr>
            <w:r>
              <w:rPr>
                <w:rFonts w:ascii="Consolas" w:cs="Consolas" w:eastAsia="Consolas" w:hAnsi="Consolas"/>
                <w:color w:val="1F2733"/>
                <w:sz w:val="16"/>
                <w:szCs w:val="16"/>
              </w:rPr>
              <w:t xml:space="preserve">  'provenance': { … },            # source, modality, locator</w:t>
            </w:r>
          </w:p>
          <w:p>
            <w:pPr>
              <w:spacing w:after="0" w:line="234"/>
            </w:pPr>
            <w:r>
              <w:rPr>
                <w:rFonts w:ascii="Consolas" w:cs="Consolas" w:eastAsia="Consolas" w:hAnsi="Consolas"/>
                <w:color w:val="1F2733"/>
                <w:sz w:val="16"/>
                <w:szCs w:val="16"/>
              </w:rPr>
              <w:t xml:space="preserve">  'floor_met': true               # server-side; a below-floor ask returns a refusal</w:t>
            </w:r>
          </w:p>
          <w:p>
            <w:pPr>
              <w:spacing w:after="0" w:line="234"/>
            </w:pPr>
            <w:r>
              <w:rPr>
                <w:rFonts w:ascii="Consolas" w:cs="Consolas" w:eastAsia="Consolas" w:hAnsi="Consolas"/>
                <w:color w:val="1F2733"/>
                <w:sz w:val="16"/>
                <w:szCs w:val="16"/>
              </w:rPr>
              <w:t xml:space="preserve">}</w:t>
            </w:r>
          </w:p>
          <w:p>
            <w:pPr>
              <w:spacing w:after="0" w:line="234"/>
            </w:pPr>
            <w:r>
              <w:rPr>
                <w:rFonts w:ascii="Consolas" w:cs="Consolas" w:eastAsia="Consolas" w:hAnsi="Consolas"/>
                <w:color w:val="1F2733"/>
                <w:sz w:val="16"/>
                <w:szCs w:val="16"/>
              </w:rPr>
              <w:t xml:space="preserve"># a refusal returns the same shape with the refusal state, never a bare error.</w:t>
            </w:r>
          </w:p>
        </w:tc>
      </w:tr>
    </w:tbl>
    <w:p>
      <w:pPr>
        <w:pBdr>
          <w:top w:val="single" w:color="3F3F46" w:sz="4" w:space="6"/>
          <w:left w:val="single" w:color="3F3F46" w:sz="14" w:space="8"/>
          <w:bottom w:val="single" w:color="3F3F46" w:sz="4" w:space="6"/>
          <w:right w:val="single" w:color="3F3F46" w:sz="4" w:space="6"/>
        </w:pBdr>
        <w:shd w:fill="F4F4F5" w:val="clear"/>
        <w:spacing w:after="140" w:before="60"/>
      </w:pPr>
      <w:r>
        <w:rPr>
          <w:b/>
          <w:bCs/>
          <w:color w:val="3F3F46"/>
        </w:rPr>
        <w:t xml:space="preserve">Governance cannot be requested away.  </w:t>
      </w:r>
      <w:r>
        <w:t xml:space="preserve">There is no response mode that returns the claim without its defensibility. The class is a field of the claim object, the floor is enforced server-side, and the audit trail is written whether or not the integrator reads it. A careless integration cannot strip the governance, because the response contract does not offer a shape in which the claim is separable from its class.</w:t>
      </w:r>
    </w:p>
    <w:p>
      <w:pPr>
        <w:pStyle w:val="Heading1"/>
      </w:pPr>
      <w:r>
        <w:t xml:space="preserve">12.  The Data-Buying Path</w:t>
      </w:r>
    </w:p>
    <w:p>
      <w:pPr>
        <w:spacing w:after="140" w:line="264"/>
      </w:pPr>
      <w:r>
        <w:t xml:space="preserve">The data-buying path is the governed-acquisition interface: a request for a dataset or skill that passes the outer gate. The interface makes the friction legible as assurance — the rights check, the irreversibility transform, the cumulative-disclosure guard — and returns a deliverable the buyer may lawfully use, with its per-item defensibility intact. A file-out that would breach rights or reconstruct identities across successive acquisitions is refused with the same explained-refusal treatment as a below-floor answer.</w:t>
      </w:r>
    </w:p>
    <w:p>
      <w:r>
        <w:br w:type="page"/>
      </w:r>
    </w:p>
    <w:p>
      <w:pPr>
        <w:pBdr>
          <w:left w:val="single" w:color="A16207" w:sz="18" w:space="10"/>
        </w:pBdr>
        <w:shd w:fill="3F3F46" w:val="clear"/>
        <w:spacing w:after="130" w:before="260"/>
      </w:pPr>
      <w:r>
        <w:rPr>
          <w:b/>
          <w:bCs/>
          <w:color w:val="FFFFFF"/>
          <w:sz w:val="24"/>
          <w:szCs w:val="24"/>
        </w:rPr>
        <w:t xml:space="preserve">Part V — Operator, Governance, Control Interfaces</w:t>
      </w:r>
    </w:p>
    <w:p>
      <w:pPr>
        <w:pStyle w:val="Heading1"/>
      </w:pPr>
      <w:r>
        <w:t xml:space="preserve">13.  The Operator Surface</w:t>
      </w:r>
    </w:p>
    <w:p>
      <w:pPr>
        <w:spacing w:after="140" w:line="264"/>
      </w:pPr>
      <w:r>
        <w:t xml:space="preserve">The operator surface is exception-first. It opens calm — a single legible statement that the system is healthy — and surfaces an exception only when a dimension crosses its threshold. It does not present always-on dashboards; it presents attention when attention is warranted, and quiet otherwise. Depth (the underlying volume, the specific tenancy, the failing model) is one reach from each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Exception class</w:t>
            </w:r>
          </w:p>
        </w:tc>
        <w:tc>
          <w:tcPr>
            <w:tcW w:type="dxa" w:w="676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Rendered when…</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Throughput</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queue, rate, or backlog crosses a health threshold.</w:t>
            </w:r>
          </w:p>
        </w:tc>
      </w:tr>
      <w:tr>
        <w:tc>
          <w:tcPr>
            <w:tcW w:type="dxa" w:w="26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Governance</w:t>
            </w:r>
          </w:p>
        </w:tc>
        <w:tc>
          <w:tcPr>
            <w:tcW w:type="dxa" w:w="67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A floor is refused at rate, a class distribution shifts, or a gate result changes.</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Tenancy</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sensitive-tier tenancy or rights boundary needs attention.</w:t>
            </w:r>
          </w:p>
        </w:tc>
      </w:tr>
      <w:tr>
        <w:tc>
          <w:tcPr>
            <w:tcW w:type="dxa" w:w="26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Infrastructure</w:t>
            </w:r>
          </w:p>
        </w:tc>
        <w:tc>
          <w:tcPr>
            <w:tcW w:type="dxa" w:w="67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Compute, substrate, or a perception model degrades against budget.</w:t>
            </w:r>
          </w:p>
        </w:tc>
      </w:tr>
    </w:tbl>
    <w:p>
      <w:pPr>
        <w:pStyle w:val="Heading1"/>
      </w:pPr>
      <w:r>
        <w:t xml:space="preserve">14.  The Governance Surface</w:t>
      </w:r>
    </w:p>
    <w:p>
      <w:pPr>
        <w:spacing w:after="140" w:line="264"/>
      </w:pPr>
      <w:r>
        <w:t xml:space="preserve">The governance surface is the DPO’s interface: the audit lens at the scope of the whole system. It foregrounds the accountable record — lawful basis on every run, refusals, the Northena Ledger, retention state — as evidence retrievable on demand, not as logs to trawl. Any run is reachable by its trace_id, and the record shown is the same one the decision-maker’s audit lens reaches; there is one record, seen at two scopes.</w:t>
      </w:r>
    </w:p>
    <w:p>
      <w:pPr>
        <w:pStyle w:val="Heading1"/>
      </w:pPr>
      <w:r>
        <w:t xml:space="preserve">15.  The Control Surface</w:t>
      </w:r>
    </w:p>
    <w:p>
      <w:pPr>
        <w:spacing w:after="140" w:line="264"/>
      </w:pPr>
      <w:r>
        <w:t xml:space="preserve">The control surface is the super-admin’s interface: high-privilege functions in classes, each guarded and logged. It is administrative, not editorial — it presents the functions as governed operations, every one of which is versioned, diffed against its prior state, and written to an audit trail on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Function class</w:t>
            </w:r>
          </w:p>
        </w:tc>
        <w:tc>
          <w:tcPr>
            <w:tcW w:type="dxa" w:w="6760"/>
            <w:tcBorders>
              <w:top w:val="single" w:color="C9D2DC" w:sz="1"/>
              <w:left w:val="single" w:color="C9D2DC" w:sz="1"/>
              <w:bottom w:val="single" w:color="C9D2DC" w:sz="1"/>
              <w:right w:val="single" w:color="C9D2DC" w:sz="1"/>
            </w:tcBorders>
            <w:shd w:fill="3F3F46" w:val="clear"/>
            <w:tcMar>
              <w:top w:type="dxa" w:w="60"/>
              <w:left w:type="dxa" w:w="110"/>
              <w:bottom w:type="dxa" w:w="60"/>
              <w:right w:type="dxa" w:w="110"/>
            </w:tcMar>
            <w:vAlign w:val="center"/>
          </w:tcPr>
          <w:p>
            <w:pPr>
              <w:spacing w:after="0" w:line="248"/>
            </w:pPr>
            <w:r>
              <w:rPr>
                <w:b/>
                <w:bCs/>
                <w:color w:val="FFFFFF"/>
                <w:sz w:val="18"/>
                <w:szCs w:val="18"/>
              </w:rPr>
              <w:t xml:space="preserve">What it controls (each action versioned, diffed, logged)</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Taxonomy</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Qualification Matrix and the source-standing declaration — the governed genre and standing tables.</w:t>
            </w:r>
          </w:p>
        </w:tc>
      </w:tr>
      <w:tr>
        <w:tc>
          <w:tcPr>
            <w:tcW w:type="dxa" w:w="26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Thresholds</w:t>
            </w:r>
          </w:p>
        </w:tc>
        <w:tc>
          <w:tcPr>
            <w:tcW w:type="dxa" w:w="67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Governance thresholds — gate bars, floors’ class-defaults — within their owners’ authority.</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Access</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Roles, keys, and their scopes — who may reach which surface and which path.</w:t>
            </w:r>
          </w:p>
        </w:tc>
      </w:tr>
      <w:tr>
        <w:tc>
          <w:tcPr>
            <w:tcW w:type="dxa" w:w="260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Tenancy / tier</w:t>
            </w:r>
          </w:p>
        </w:tc>
        <w:tc>
          <w:tcPr>
            <w:tcW w:type="dxa" w:w="6760"/>
            <w:tcBorders>
              <w:top w:val="single" w:color="C9D2DC" w:sz="1"/>
              <w:left w:val="single" w:color="C9D2DC" w:sz="1"/>
              <w:bottom w:val="single" w:color="C9D2DC" w:sz="1"/>
              <w:right w:val="single" w:color="C9D2DC" w:sz="1"/>
            </w:tcBorders>
            <w:shd w:fill="EEEEF0" w:val="clear"/>
            <w:tcMar>
              <w:top w:type="dxa" w:w="60"/>
              <w:left w:type="dxa" w:w="110"/>
              <w:bottom w:type="dxa" w:w="60"/>
              <w:right w:type="dxa" w:w="110"/>
            </w:tcMar>
            <w:vAlign w:val="center"/>
          </w:tcPr>
          <w:p>
            <w:pPr>
              <w:spacing w:after="0" w:line="248"/>
            </w:pPr>
            <w:r>
              <w:rPr>
                <w:sz w:val="18"/>
                <w:szCs w:val="18"/>
              </w:rPr>
              <w:t xml:space="preserve">Customer tenancy and sensitivity-tier configuration.</w:t>
            </w:r>
          </w:p>
        </w:tc>
      </w:tr>
    </w:tbl>
    <w:p>
      <w:pPr>
        <w:pBdr>
          <w:top w:val="single" w:color="3F3F46" w:sz="4" w:space="6"/>
          <w:left w:val="single" w:color="3F3F46" w:sz="14" w:space="8"/>
          <w:bottom w:val="single" w:color="3F3F46" w:sz="4" w:space="6"/>
          <w:right w:val="single" w:color="3F3F46" w:sz="4" w:space="6"/>
        </w:pBdr>
        <w:shd w:fill="F4F4F5" w:val="clear"/>
        <w:spacing w:after="140" w:before="60"/>
      </w:pPr>
      <w:r>
        <w:rPr>
          <w:b/>
          <w:bCs/>
          <w:color w:val="3F3F46"/>
        </w:rPr>
        <w:t xml:space="preserve">High-privilege actions are safe by construction.  </w:t>
      </w:r>
      <w:r>
        <w:t xml:space="preserve">Every control action is versioned and diffed against its prior state before it commits, and written to an audit trail on commit. Authority is total in scope and never un-audited in exercise — a change to the taxonomy or a threshold is a governed, reversible, recorded operation, not a silent edit.</w:t>
      </w:r>
    </w:p>
    <w:p>
      <w:r>
        <w:br w:type="page"/>
      </w:r>
    </w:p>
    <w:p>
      <w:pPr>
        <w:pBdr>
          <w:left w:val="single" w:color="A16207" w:sz="18" w:space="10"/>
        </w:pBdr>
        <w:shd w:fill="3F3F46" w:val="clear"/>
        <w:spacing w:after="130" w:before="260"/>
      </w:pPr>
      <w:r>
        <w:rPr>
          <w:b/>
          <w:bCs/>
          <w:color w:val="FFFFFF"/>
          <w:sz w:val="24"/>
          <w:szCs w:val="24"/>
        </w:rPr>
        <w:t xml:space="preserve">Part VI — Interface Invariants</w:t>
      </w:r>
    </w:p>
    <w:p>
      <w:pPr>
        <w:pStyle w:val="Heading1"/>
      </w:pPr>
      <w:r>
        <w:t xml:space="preserve">16.  Invariants</w:t>
      </w:r>
    </w:p>
    <w:p>
      <w:pPr>
        <w:spacing w:after="140" w:line="264"/>
      </w:pPr>
      <w:r>
        <w:t xml:space="preserve">Binding on any correct interface. A design that violates one fails the specification regardless of how it looks.</w:t>
      </w:r>
    </w:p>
    <w:p>
      <w:pPr>
        <w:pStyle w:val="ListParagraph"/>
        <w:numPr>
          <w:ilvl w:val="0"/>
          <w:numId w:val="3"/>
        </w:numPr>
        <w:spacing w:after="70" w:line="258"/>
      </w:pPr>
      <w:r>
        <w:t xml:space="preserve">There is one entry. Sign-in routes each user to their surface deterministically on role; a multi-role user is offered a chooser, never a merged surface.</w:t>
      </w:r>
    </w:p>
    <w:p>
      <w:pPr>
        <w:pStyle w:val="ListParagraph"/>
        <w:numPr>
          <w:ilvl w:val="0"/>
          <w:numId w:val="3"/>
        </w:numPr>
        <w:spacing w:after="70" w:line="258"/>
      </w:pPr>
      <w:r>
        <w:t xml:space="preserve">Every surface opens calm and reveals depth on reach; no surface imposes detail on arrival.</w:t>
      </w:r>
    </w:p>
    <w:p>
      <w:pPr>
        <w:pStyle w:val="ListParagraph"/>
        <w:numPr>
          <w:ilvl w:val="0"/>
          <w:numId w:val="3"/>
        </w:numPr>
        <w:spacing w:after="70" w:line="258"/>
      </w:pPr>
      <w:r>
        <w:t xml:space="preserve">Wherever a unit of intelligence appears, its defensibility class appears with it in plain language — never suppressed, never rendered as a bare score.</w:t>
      </w:r>
    </w:p>
    <w:p>
      <w:pPr>
        <w:pStyle w:val="ListParagraph"/>
        <w:numPr>
          <w:ilvl w:val="0"/>
          <w:numId w:val="3"/>
        </w:numPr>
        <w:spacing w:after="70" w:line="258"/>
      </w:pPr>
      <w:r>
        <w:t xml:space="preserve">The three lenses render as one progressive view joined by trace_id; a user reaching deeper follows the thread and never re-finds the answer in another surface.</w:t>
      </w:r>
    </w:p>
    <w:p>
      <w:pPr>
        <w:pStyle w:val="ListParagraph"/>
        <w:numPr>
          <w:ilvl w:val="0"/>
          <w:numId w:val="3"/>
        </w:numPr>
        <w:spacing w:after="70" w:line="258"/>
      </w:pPr>
      <w:r>
        <w:t xml:space="preserve">A refusal-below-floor occupies the answer position as an explained state with a path forward — never an empty result, never a silent downgrade.</w:t>
      </w:r>
    </w:p>
    <w:p>
      <w:pPr>
        <w:pStyle w:val="ListParagraph"/>
        <w:numPr>
          <w:ilvl w:val="0"/>
          <w:numId w:val="3"/>
        </w:numPr>
        <w:spacing w:after="70" w:line="258"/>
      </w:pPr>
      <w:r>
        <w:t xml:space="preserve">The integration response contract returns the claim and its defensibility as one object; there is no response shape in which the claim is separable from its class, and the floor is enforced server-side.</w:t>
      </w:r>
    </w:p>
    <w:p>
      <w:pPr>
        <w:pStyle w:val="ListParagraph"/>
        <w:numPr>
          <w:ilvl w:val="0"/>
          <w:numId w:val="3"/>
        </w:numPr>
        <w:spacing w:after="70" w:line="258"/>
      </w:pPr>
      <w:r>
        <w:t xml:space="preserve">Key scope is enforced server-side at every call; no client-side action lets a key exceed its scope, and the data-buying path passes the outer gate.</w:t>
      </w:r>
    </w:p>
    <w:p>
      <w:pPr>
        <w:pStyle w:val="ListParagraph"/>
        <w:numPr>
          <w:ilvl w:val="0"/>
          <w:numId w:val="3"/>
        </w:numPr>
        <w:spacing w:after="70" w:line="258"/>
      </w:pPr>
      <w:r>
        <w:t xml:space="preserve">The operator surface is exception-first: calm when healthy, surfacing attention only when a threshold is crossed.</w:t>
      </w:r>
    </w:p>
    <w:p>
      <w:pPr>
        <w:pStyle w:val="ListParagraph"/>
        <w:numPr>
          <w:ilvl w:val="0"/>
          <w:numId w:val="3"/>
        </w:numPr>
        <w:spacing w:after="70" w:line="258"/>
      </w:pPr>
      <w:r>
        <w:t xml:space="preserve">One record, seen at two scopes: the DPO’s governance surface and a user’s audit lens reach the identical record by trace_id.</w:t>
      </w:r>
    </w:p>
    <w:p>
      <w:pPr>
        <w:pStyle w:val="ListParagraph"/>
        <w:numPr>
          <w:ilvl w:val="0"/>
          <w:numId w:val="3"/>
        </w:numPr>
        <w:spacing w:after="70" w:line="258"/>
      </w:pPr>
      <w:r>
        <w:t xml:space="preserve">Every control-surface action is versioned, diffed against its prior state, and logged on commit; no high-privilege change is a silent edit.</w:t>
      </w:r>
    </w:p>
    <w:p>
      <w:pPr>
        <w:spacing w:after="60"/>
      </w:pPr>
      <w:r>
        <w:t xml:space="preserve"/>
      </w:r>
    </w:p>
    <w:p>
      <w:pPr>
        <w:pBdr>
          <w:top w:val="single" w:color="3F3F46" w:sz="4" w:space="6"/>
          <w:left w:val="single" w:color="3F3F46" w:sz="14" w:space="8"/>
          <w:bottom w:val="single" w:color="3F3F46" w:sz="4" w:space="6"/>
          <w:right w:val="single" w:color="3F3F46" w:sz="4" w:space="6"/>
        </w:pBdr>
        <w:shd w:fill="F4F4F5" w:val="clear"/>
        <w:spacing w:after="140" w:before="60"/>
      </w:pPr>
      <w:r>
        <w:rPr>
          <w:b/>
          <w:bCs/>
          <w:color w:val="3F3F46"/>
        </w:rPr>
        <w:t xml:space="preserve">Status.  </w:t>
      </w:r>
      <w:r>
        <w:t xml:space="preserve">This specification is complete. It fixes the single entry and its routing, the layout and behaviour of all six surfaces, the rendering of the three lenses, the class and the refusal, and the integration response contract in which governance travels inline. It realises the UX Architecture Specification and defers to it on experience matters. The build is staged from the entry and routing outward; the specification is whole, and each surface is built as it is reached.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6DB" w:sz="4" w:space="6"/>
      </w:pBdr>
      <w:jc w:val="center"/>
    </w:pPr>
    <w:r>
      <w:rPr>
        <w:color w:val="9AA3AE"/>
        <w:sz w:val="15"/>
        <w:szCs w:val="15"/>
      </w:rPr>
      <w:t xml:space="preserve">Syni.ai  ·  Interface Specification  ·  v1.0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6DB" w:sz="4" w:space="6"/>
      </w:pBdr>
      <w:tabs>
        <w:tab w:val="right" w:pos="9360"/>
      </w:tabs>
      <w:spacing w:after="0"/>
    </w:pPr>
    <w:r>
      <w:rPr>
        <w:b/>
        <w:bCs/>
        <w:color w:val="475569"/>
        <w:sz w:val="16"/>
        <w:szCs w:val="16"/>
      </w:rPr>
      <w:t xml:space="preserve">RMS Intelligence System</w:t>
    </w:r>
    <w:r>
      <w:rPr>
        <w:color w:val="475569"/>
        <w:sz w:val="16"/>
        <w:szCs w:val="16"/>
      </w:rPr>
      <w:t xml:space="preserve">  ·  Interface Specification</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IF-INV-%1."/>
      <w:lvlJc w:val="left"/>
      <w:pPr>
        <w:ind w:left="900" w:hanging="7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3F3F46"/>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8181B"/>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Intelligence System — Interface Specification</dc:title>
  <dc:creator>Syni.ai</dc:creator>
  <cp:lastModifiedBy>Un-named</cp:lastModifiedBy>
  <cp:revision>1</cp:revision>
  <dcterms:created xsi:type="dcterms:W3CDTF">2026-07-01T15:43:57.474Z</dcterms:created>
  <dcterms:modified xsi:type="dcterms:W3CDTF">2026-07-01T15:43:57.475Z</dcterms:modified>
</cp:coreProperties>
</file>

<file path=docProps/custom.xml><?xml version="1.0" encoding="utf-8"?>
<Properties xmlns="http://schemas.openxmlformats.org/officeDocument/2006/custom-properties" xmlns:vt="http://schemas.openxmlformats.org/officeDocument/2006/docPropsVTypes"/>
</file>