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000"/>
      </w:pPr>
      <w:r>
        <w:rPr>
          <w:b/>
          <w:bCs/>
          <w:color w:val="16202B"/>
          <w:sz w:val="44"/>
          <w:szCs w:val="44"/>
        </w:rPr>
        <w:t xml:space="preserve">RMS Intelligence System</w:t>
      </w:r>
    </w:p>
    <w:p>
      <w:pPr>
        <w:pBdr>
          <w:bottom w:val="single" w:color="1D3A5F" w:sz="14" w:space="6"/>
        </w:pBdr>
        <w:spacing w:after="40"/>
      </w:pPr>
      <w:r>
        <w:rPr>
          <w:color w:val="1D3A5F"/>
          <w:sz w:val="27"/>
          <w:szCs w:val="27"/>
        </w:rPr>
        <w:t xml:space="preserve">Product &amp; Engineering Specification</w:t>
      </w:r>
    </w:p>
    <w:p>
      <w:pPr>
        <w:spacing w:after="30" w:before="200"/>
      </w:pPr>
      <w:r>
        <w:rPr>
          <w:color w:val="475569"/>
          <w:sz w:val="20"/>
          <w:szCs w:val="20"/>
        </w:rPr>
        <w:t xml:space="preserve">The master specification for a governed multimodal intelligence-extraction platform. This document is comprehensive at the level of architecture and behaviour: it specifies the system whole — the engine, the five rings, the defensibility model, the three governors and two engines, the frozen contracts, and the validation gates — to full technical and behavioural depth. It sits above the four engine specifications, which carry each component’s module structure, typed contracts, and test obligations.</w:t>
      </w:r>
    </w:p>
    <w:p>
      <w:pPr>
        <w:spacing w:after="30"/>
      </w:pPr>
      <w:r>
        <w:rPr>
          <w:color w:val="475569"/>
          <w:sz w:val="19"/>
          <w:szCs w:val="19"/>
        </w:rPr>
        <w:t xml:space="preserve">Version 2.1  ·  the canonical parent; prevails over any engine specification on conflict.</w:t>
      </w:r>
    </w:p>
    <w:p>
      <w:pPr>
        <w:spacing w:after="460"/>
      </w:pPr>
      <w:r>
        <w:rPr>
          <w:i/>
          <w:iCs/>
          <w:color w:val="6B7280"/>
          <w:sz w:val="18"/>
          <w:szCs w:val="18"/>
        </w:rPr>
        <w:t xml:space="preserve">Prepared by Syni.ai for Royal Media Services  ·  July 2026  ·  Confidential</w:t>
      </w:r>
    </w:p>
    <w:p>
      <w:pPr>
        <w:spacing w:after="140" w:line="264"/>
      </w:pPr>
      <w:r>
        <w:rPr>
          <w:sz w:val="20"/>
          <w:szCs w:val="20"/>
        </w:rPr>
        <w:t xml:space="preserve">This is the binding master specification. It states the system as it is designed to be — a forward specification from which the system is built, not a description of an implementation. Where it states a rule, that rule binds. Findings settled to date appear here as settled design decisions: the six frozen contracts, the ring refinements, the two-layer measures, the unit-versus-audit separation, and the common structural guard (§3). Nothing in this document assumes a build has occurred; it specifies what must be true of any correct build.</w:t>
      </w:r>
    </w:p>
    <w:p>
      <w:r>
        <w:br w:type="page"/>
      </w:r>
    </w:p>
    <w:p>
      <w:pPr>
        <w:spacing w:after="120"/>
      </w:pPr>
      <w:r>
        <w:rPr>
          <w:b/>
          <w:bCs/>
          <w:color w:val="16202B"/>
          <w:sz w:val="26"/>
          <w:szCs w:val="2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Bdr>
          <w:left w:val="single" w:color="16202B" w:sz="18" w:space="10"/>
        </w:pBdr>
        <w:shd w:fill="1D3A5F" w:val="clear"/>
        <w:spacing w:after="130" w:before="260"/>
      </w:pPr>
      <w:r>
        <w:rPr>
          <w:b/>
          <w:bCs/>
          <w:color w:val="FFFFFF"/>
          <w:sz w:val="24"/>
          <w:szCs w:val="24"/>
        </w:rPr>
        <w:t xml:space="preserve">Part I — The System</w:t>
      </w:r>
    </w:p>
    <w:p>
      <w:pPr>
        <w:pStyle w:val="Heading1"/>
      </w:pPr>
      <w:r>
        <w:t xml:space="preserve">1.  Purpose and Scope</w:t>
      </w:r>
    </w:p>
    <w:p>
      <w:pPr>
        <w:spacing w:after="140" w:line="264"/>
      </w:pPr>
      <w:r>
        <w:t xml:space="preserve">The RMS Intelligence System converts a twenty-year multimodal broadcast archive into intelligence: governed claims, extracted on demand, reused across objectives, and delivered either inside Royal Media Services for decisions or externally as a governed product. It is an extraction platform, not a storage platform. The archive remains under RMS control; what leaves the system is intelligence — transformed, governed, and honest about its own standing — never the raw estate.</w:t>
      </w:r>
    </w:p>
    <w:p>
      <w:pPr>
        <w:spacing w:after="140" w:line="264"/>
      </w:pPr>
      <w:r>
        <w:t xml:space="preserve">This specification defines the product and its engineering to the depth required to build it without re-interpretation. It covers the extraction engine, the shape of every unit of intelligence, the model that governs what may be asserted, the governors and engines that bound the system, the contracts everything binds to, the gates that validate it against reality, and the data-protection posture. It is the parent of four engine specifications (Northena, Targeta, Mtafiti, Solva); those elaborate module-level implementation, and are consistent with this document, which prevails on conflict.</w:t>
      </w:r>
    </w:p>
    <w:p>
      <w:pPr>
        <w:pStyle w:val="Heading3"/>
      </w:pPr>
      <w:r>
        <w:t xml:space="preserve">What the system is not</w:t>
      </w:r>
    </w:p>
    <w:p>
      <w:pPr>
        <w:pStyle w:val="ListParagraph"/>
        <w:numPr>
          <w:ilvl w:val="0"/>
          <w:numId w:val="2"/>
        </w:numPr>
        <w:spacing w:after="70" w:line="258"/>
      </w:pPr>
      <w:r>
        <w:rPr>
          <w:b/>
          <w:bCs/>
        </w:rPr>
        <w:t xml:space="preserve">Not a search index. </w:t>
      </w:r>
      <w:r>
        <w:t xml:space="preserve">It does not return documents or passages ranked by relevance; it returns governed claims with provenance and a defensibility measure.</w:t>
      </w:r>
    </w:p>
    <w:p>
      <w:pPr>
        <w:pStyle w:val="ListParagraph"/>
        <w:numPr>
          <w:ilvl w:val="0"/>
          <w:numId w:val="2"/>
        </w:numPr>
        <w:spacing w:after="70" w:line="258"/>
      </w:pPr>
      <w:r>
        <w:rPr>
          <w:b/>
          <w:bCs/>
        </w:rPr>
        <w:t xml:space="preserve">Not a data lake. </w:t>
      </w:r>
      <w:r>
        <w:t xml:space="preserve">It does not pool raw content for arbitrary query; it extracts intelligence against the estate in place, under governance.</w:t>
      </w:r>
    </w:p>
    <w:p>
      <w:pPr>
        <w:pStyle w:val="ListParagraph"/>
        <w:numPr>
          <w:ilvl w:val="0"/>
          <w:numId w:val="2"/>
        </w:numPr>
        <w:spacing w:after="70" w:line="258"/>
      </w:pPr>
      <w:r>
        <w:rPr>
          <w:b/>
          <w:bCs/>
        </w:rPr>
        <w:t xml:space="preserve">Not a truth oracle. </w:t>
      </w:r>
      <w:r>
        <w:t xml:space="preserve">It does not adjudicate whether contested claims are true; it measures how defensibly each claim may be asserted (Part IV).</w:t>
      </w:r>
    </w:p>
    <w:p>
      <w:pPr>
        <w:pStyle w:val="Heading1"/>
      </w:pPr>
      <w:r>
        <w:t xml:space="preserve">2.  The Two Services</w:t>
      </w:r>
    </w:p>
    <w:p>
      <w:pPr>
        <w:spacing w:after="140" w:line="264"/>
      </w:pPr>
      <w:r>
        <w:t xml:space="preserve">The system runs two services over one engine and one Normalized tier. Service 1 stands the estate up; Service 2 operates against it day to day.</w:t>
      </w:r>
    </w:p>
    <w:p>
      <w:pPr>
        <w:pStyle w:val="Heading2"/>
      </w:pPr>
      <w:r>
        <w:t xml:space="preserve">2.1  Service 1 — Estate Extraction (Day Zero)</w:t>
      </w:r>
    </w:p>
    <w:p>
      <w:pPr>
        <w:spacing w:after="140" w:line="264"/>
      </w:pPr>
      <w:r>
        <w:t xml:space="preserve">Service 1 is the standing-up pass. Under a Portfolio Mandate — the governing artifact that declares which estate, at what priority, to what class-default floor — the system censuses, prioritises, and converges the estate into the Normalized tier. The flow is Mtafiti (census + defensibility measure) → Targeta (prioritise where to mine) → Akki A→B→C (retrieve, perceive, converge). It terminates at convergence: Service 1 populates the tier; it does not answer objectives. It is re-run when the Registry materially changes (Part IV, freshness).</w:t>
      </w:r>
    </w:p>
    <w:p>
      <w:pPr>
        <w:pStyle w:val="Heading2"/>
      </w:pPr>
      <w:r>
        <w:t xml:space="preserve">2.2  Service 2 — Objective Extraction (Day to Day)</w:t>
      </w:r>
    </w:p>
    <w:p>
      <w:pPr>
        <w:spacing w:after="140" w:line="264"/>
      </w:pPr>
      <w:r>
        <w:t xml:space="preserve">Service 2 is the standing operation. Against an Objective Request — the governing artifact that declares the objective, its defensibility floor, its scope, its lawful basis — Layer D composes intelligence over the Normalized tier, calling A→B→C as fallback only for un-converged slices. The run is directed by Northena (is it in scope, is it done) and governed for depth by Solva (is the reasoning sound, does the output assert within its defensibility). It returns a governed answer carrying provenance, defensibility class, and a trace. Each answered objective densifies the warm tier, so adjacent future objectives are cheaper to serve.</w:t>
      </w:r>
    </w:p>
    <w:p>
      <w:pPr>
        <w:pStyle w:val="Heading2"/>
      </w:pPr>
      <w:r>
        <w:t xml:space="preserve">2.3  One engine, one tier, two services</w:t>
      </w:r>
    </w:p>
    <w:p>
      <w:pPr>
        <w:spacing w:after="140" w:line="264"/>
      </w:pPr>
      <w:r>
        <w:t xml:space="preserve">Both services compose the same Akki engine over the same Five-Rings Normalized tier. The engine is consumer-blind (§9): it produces intelligence identically whether the eventual consumer is internal or external. The consumer’s location selects the delivery perimeter (§4), which is a governance concern, not an engine concern — the extraction is the same.</w:t>
      </w:r>
    </w:p>
    <w:p>
      <w:pPr>
        <w:pStyle w:val="Heading1"/>
      </w:pPr>
      <w:r>
        <w:t xml:space="preserve">3.  The Governing Principle — One Guard, Applied Four Times</w:t>
      </w:r>
    </w:p>
    <w:p>
      <w:pPr>
        <w:spacing w:after="140" w:line="264"/>
      </w:pPr>
      <w:r>
        <w:t xml:space="preserve">The system’s integrity rests on one structural principle, applied once in each component that carries power. In each, the powerful part is separated by construction from the governed decision it must not touch: the guarded value is not an input the powerful part receives, so a violation is unrepresentable rather than merely disallowed. The separation is enforced by a type, a dependency rule, or an interface — never by runtime policing or good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950"/>
        <w:gridCol w:w="4660"/>
      </w:tblGrid>
      <w:tr>
        <w:tc>
          <w:tcPr>
            <w:tcW w:type="dxa" w:w="175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Component</w:t>
            </w:r>
          </w:p>
        </w:tc>
        <w:tc>
          <w:tcPr>
            <w:tcW w:type="dxa" w:w="295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The powerful part</w:t>
            </w:r>
          </w:p>
        </w:tc>
        <w:tc>
          <w:tcPr>
            <w:tcW w:type="dxa" w:w="466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Separated from</w:t>
            </w:r>
          </w:p>
        </w:tc>
      </w:tr>
      <w:tr>
        <w:tc>
          <w:tcPr>
            <w:tcW w:type="dxa" w:w="17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b/>
                <w:bCs/>
                <w:color w:val="B45309"/>
              </w:rPr>
              <w:t xml:space="preserve">Northena</w:t>
            </w:r>
          </w:p>
        </w:tc>
        <w:tc>
          <w:tcPr>
            <w:tcW w:type="dxa" w:w="29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Run-to-run dynamism</w:t>
            </w:r>
          </w:p>
        </w:tc>
        <w:tc>
          <w:tcPr>
            <w:tcW w:type="dxa" w:w="46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Auditability. Dynamism comes only from the frozen governing artifact; Northena contains no model and never learns.</w:t>
            </w:r>
          </w:p>
        </w:tc>
      </w:tr>
      <w:tr>
        <w:tc>
          <w:tcPr>
            <w:tcW w:type="dxa" w:w="175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b/>
                <w:bCs/>
                <w:color w:val="1D4ED8"/>
              </w:rPr>
              <w:t xml:space="preserve">Targeta</w:t>
            </w:r>
          </w:p>
        </w:tc>
        <w:tc>
          <w:tcPr>
            <w:tcW w:type="dxa" w:w="295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Learned yield ordering</w:t>
            </w:r>
          </w:p>
        </w:tc>
        <w:tc>
          <w:tcPr>
            <w:tcW w:type="dxa" w:w="46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Eligibility. The yield layer receives only the floor-passing set and returns a permutation of it; a non-permutation is a type error.</w:t>
            </w:r>
          </w:p>
        </w:tc>
      </w:tr>
      <w:tr>
        <w:tc>
          <w:tcPr>
            <w:tcW w:type="dxa" w:w="17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b/>
                <w:bCs/>
                <w:color w:val="0F766E"/>
              </w:rPr>
              <w:t xml:space="preserve">Mtafiti</w:t>
            </w:r>
          </w:p>
        </w:tc>
        <w:tc>
          <w:tcPr>
            <w:tcW w:type="dxa" w:w="29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Learned inference</w:t>
            </w:r>
          </w:p>
        </w:tc>
        <w:tc>
          <w:tcPr>
            <w:tcW w:type="dxa" w:w="46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The verdict. Inference emits detections only; the defensibility verdict is a governed Qualification Matrix lookup.</w:t>
            </w:r>
          </w:p>
        </w:tc>
      </w:tr>
      <w:tr>
        <w:tc>
          <w:tcPr>
            <w:tcW w:type="dxa" w:w="175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b/>
                <w:bCs/>
                <w:color w:val="3730A3"/>
              </w:rPr>
              <w:t xml:space="preserve">Solva</w:t>
            </w:r>
          </w:p>
        </w:tc>
        <w:tc>
          <w:tcPr>
            <w:tcW w:type="dxa" w:w="295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Genuine reasoning</w:t>
            </w:r>
          </w:p>
        </w:tc>
        <w:tc>
          <w:tcPr>
            <w:tcW w:type="dxa" w:w="46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The assertion ceiling. The conclusion’s class is a floor over its load-bearing units’ classes, computed without reasoning strength as an input.</w:t>
            </w:r>
          </w:p>
        </w:tc>
      </w:tr>
    </w:tbl>
    <w:p>
      <w:pPr>
        <w:pBdr>
          <w:top w:val="single" w:color="1D3A5F" w:sz="4" w:space="6"/>
          <w:left w:val="single" w:color="1D3A5F" w:sz="14" w:space="8"/>
          <w:bottom w:val="single" w:color="1D3A5F" w:sz="4" w:space="6"/>
          <w:right w:val="single" w:color="1D3A5F" w:sz="4" w:space="6"/>
        </w:pBdr>
        <w:shd w:fill="EEF3F8" w:val="clear"/>
        <w:spacing w:after="140" w:before="60"/>
      </w:pPr>
      <w:r>
        <w:rPr>
          <w:b/>
          <w:bCs/>
          <w:color w:val="1D3A5F"/>
        </w:rPr>
        <w:t xml:space="preserve">Why the guard is structural.  </w:t>
      </w:r>
      <w:r>
        <w:t xml:space="preserve">In every case the failure is the powerful part reaching the governed decision — a learned layer suppressing a source below the floor, reasoning asserting an utterance as fact. The design makes the reach unrepresentable: the guarded value is simply absent from what the powerful part receives, so the violation cannot be expressed. This is what allows the system to be both maximally capable in its powerful parts and fully defensible at its governed decisions. Every component specification in Parts V–VI is an instance of this one principle.</w:t>
      </w:r>
    </w:p>
    <w:p>
      <w:pPr>
        <w:pStyle w:val="Heading1"/>
      </w:pPr>
      <w:r>
        <w:t xml:space="preserve">4.  Delivery — Two Wrappers, Two Perimeters</w:t>
      </w:r>
    </w:p>
    <w:p>
      <w:pPr>
        <w:spacing w:after="140" w:line="264"/>
      </w:pPr>
      <w:r>
        <w:t xml:space="preserve">One extraction is delivered four ways. The extracted unit or composition is packaged in one of two wrappers and delivered across one of two perimeters; the extraction itself is unchanged by either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Wrapper</w:t>
            </w:r>
          </w:p>
        </w:tc>
        <w:tc>
          <w:tcPr>
            <w:tcW w:type="dxa" w:w="726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Meaning</w:t>
            </w:r>
          </w:p>
        </w:tc>
      </w:tr>
      <w:tr>
        <w:tc>
          <w:tcPr>
            <w:tcW w:type="dxa" w:w="21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Dataset</w:t>
            </w:r>
          </w:p>
        </w:tc>
        <w:tc>
          <w:tcPr>
            <w:tcW w:type="dxa" w:w="72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Structured intelligence — a set of governed units, each with its rings, delivered as data.</w:t>
            </w:r>
          </w:p>
        </w:tc>
      </w:tr>
      <w:tr>
        <w:tc>
          <w:tcPr>
            <w:tcW w:type="dxa" w:w="21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Skill</w:t>
            </w:r>
          </w:p>
        </w:tc>
        <w:tc>
          <w:tcPr>
            <w:tcW w:type="dxa" w:w="72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A named, bounded capability that answers a class of objective — a reusable extraction, wrapped and invocable.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Perimeter</w:t>
            </w:r>
          </w:p>
        </w:tc>
        <w:tc>
          <w:tcPr>
            <w:tcW w:type="dxa" w:w="726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Meaning</w:t>
            </w:r>
          </w:p>
        </w:tc>
      </w:tr>
      <w:tr>
        <w:tc>
          <w:tcPr>
            <w:tcW w:type="dxa" w:w="21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Inner gate</w:t>
            </w:r>
          </w:p>
        </w:tc>
        <w:tc>
          <w:tcPr>
            <w:tcW w:type="dxa" w:w="72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Live intelligence served in-tenancy. De-identifies before any external model call, re-identifies on return, fail-closed, audited. The default, and buildable without the outer gate.</w:t>
            </w:r>
          </w:p>
        </w:tc>
      </w:tr>
      <w:tr>
        <w:tc>
          <w:tcPr>
            <w:tcW w:type="dxa" w:w="21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Outer gate</w:t>
            </w:r>
          </w:p>
        </w:tc>
        <w:tc>
          <w:tcPr>
            <w:tcW w:type="dxa" w:w="72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File-out for external sale. Applies the irreversibility transform, validates rights (gate V2), and guards cumulative disclosure. Only irreversibly transformed data crosses it.</w:t>
            </w:r>
          </w:p>
        </w:tc>
      </w:tr>
    </w:tbl>
    <w:p>
      <w:pPr>
        <w:spacing w:after="140" w:line="264"/>
      </w:pPr>
      <w:r>
        <w:t xml:space="preserve">The two perimeters are governed by SyniSense (§20). The wrapper and perimeter are chosen per delivery; the same extracted intelligence may be served live in-tenancy to one consumer and, subject to V2, filed out irreversibly to another.</w:t>
      </w:r>
    </w:p>
    <w:p>
      <w:r>
        <w:br w:type="page"/>
      </w:r>
    </w:p>
    <w:p>
      <w:pPr>
        <w:pBdr>
          <w:left w:val="single" w:color="16202B" w:sz="18" w:space="10"/>
        </w:pBdr>
        <w:shd w:fill="1D3A5F" w:val="clear"/>
        <w:spacing w:after="130" w:before="260"/>
      </w:pPr>
      <w:r>
        <w:rPr>
          <w:b/>
          <w:bCs/>
          <w:color w:val="FFFFFF"/>
          <w:sz w:val="24"/>
          <w:szCs w:val="24"/>
        </w:rPr>
        <w:t xml:space="preserve">Part II — The Extraction Engine (Akki / CIPP)</w:t>
      </w:r>
    </w:p>
    <w:p>
      <w:pPr>
        <w:pStyle w:val="Heading1"/>
      </w:pPr>
      <w:r>
        <w:t xml:space="preserve">5.  The Engine in Four Layers</w:t>
      </w:r>
    </w:p>
    <w:p>
      <w:pPr>
        <w:spacing w:after="140" w:line="264"/>
      </w:pPr>
      <w:r>
        <w:t xml:space="preserve">Akki — the Convergent Intelligence Processing Pipeline — is the extraction engine. It is four layers: Retrieval (A), Modality Extractors (B), Convergence (C), and the Extraction Orchestrator (D). Layers A–C run in Service 1 and terminate at the Normalized tier; Layer D runs in Service 2 over that tier, calling A→B→C only as fallback for un-converged slices. The engine is consumer-blind and objective-agnostic below Layer D: A, B, and C extract the estate the same way regardless of what will later be asked of it, which is what allows one Normalized tier to serve every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c>
          <w:tcPr>
            <w:tcW w:type="dxa" w:w="130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Layer</w:t>
            </w:r>
          </w:p>
        </w:tc>
        <w:tc>
          <w:tcPr>
            <w:tcW w:type="dxa" w:w="240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Name</w:t>
            </w:r>
          </w:p>
        </w:tc>
        <w:tc>
          <w:tcPr>
            <w:tcW w:type="dxa" w:w="566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Function</w:t>
            </w:r>
          </w:p>
        </w:tc>
      </w:tr>
      <w:tr>
        <w:tc>
          <w:tcPr>
            <w:tcW w:type="dxa" w:w="13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A</w:t>
            </w:r>
          </w:p>
        </w:tc>
        <w:tc>
          <w:tcPr>
            <w:tcW w:type="dxa" w:w="24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Retrieval</w:t>
            </w:r>
          </w:p>
        </w:tc>
        <w:tc>
          <w:tcPr>
            <w:tcW w:type="dxa" w:w="56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Modality-aware fetch of the raw estate slice the mining plan targets, carrying the objective’s defensibility floor forward.</w:t>
            </w:r>
          </w:p>
        </w:tc>
      </w:tr>
      <w:tr>
        <w:tc>
          <w:tcPr>
            <w:tcW w:type="dxa" w:w="13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B</w:t>
            </w:r>
          </w:p>
        </w:tc>
        <w:tc>
          <w:tcPr>
            <w:tcW w:type="dxa" w:w="24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Modality Extractors</w:t>
            </w:r>
          </w:p>
        </w:tc>
        <w:tc>
          <w:tcPr>
            <w:tcW w:type="dxa" w:w="56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Parallel, in-tenancy perception per modality; emits modality-native output plus genre-form and source-attachment markers.</w:t>
            </w:r>
          </w:p>
        </w:tc>
      </w:tr>
      <w:tr>
        <w:tc>
          <w:tcPr>
            <w:tcW w:type="dxa" w:w="13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C</w:t>
            </w:r>
          </w:p>
        </w:tc>
        <w:tc>
          <w:tcPr>
            <w:tcW w:type="dxa" w:w="24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Convergence</w:t>
            </w:r>
          </w:p>
        </w:tc>
        <w:tc>
          <w:tcPr>
            <w:tcW w:type="dxa" w:w="56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Normalises modality-native output into the modality-neutral Five-Rings representation; computes relational edges; stamps Ring 5.</w:t>
            </w:r>
          </w:p>
        </w:tc>
      </w:tr>
      <w:tr>
        <w:tc>
          <w:tcPr>
            <w:tcW w:type="dxa" w:w="13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D</w:t>
            </w:r>
          </w:p>
        </w:tc>
        <w:tc>
          <w:tcPr>
            <w:tcW w:type="dxa" w:w="24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Extraction Orchestrator</w:t>
            </w:r>
          </w:p>
        </w:tc>
        <w:tc>
          <w:tcPr>
            <w:tcW w:type="dxa" w:w="56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Consumer-blind primitives composing over the Normalized tier to answer an objective; two output-forms, two consumer-locations.</w:t>
            </w:r>
          </w:p>
        </w:tc>
      </w:tr>
    </w:tbl>
    <w:p>
      <w:pPr>
        <w:pStyle w:val="Heading1"/>
      </w:pPr>
      <w:r>
        <w:t xml:space="preserve">6.  Layer A — Retrieval</w:t>
      </w:r>
    </w:p>
    <w:p>
      <w:pPr>
        <w:spacing w:after="140" w:line="264"/>
      </w:pPr>
      <w:r>
        <w:t xml:space="preserve">Layer A fetches the raw estate slice named by the mining plan and routes it to the correct modality handler. It is modality-aware but perception-blind: it retrieves bytes and dispatches them; it interprets nothing.</w:t>
      </w:r>
    </w:p>
    <w:p>
      <w:pPr>
        <w:pStyle w:val="Heading3"/>
      </w:pPr>
      <w:r>
        <w:t xml:space="preserve">Behaviour</w:t>
      </w:r>
    </w:p>
    <w:p>
      <w:pPr>
        <w:pStyle w:val="ListParagraph"/>
        <w:numPr>
          <w:ilvl w:val="0"/>
          <w:numId w:val="2"/>
        </w:numPr>
        <w:spacing w:after="70" w:line="258"/>
      </w:pPr>
      <w:r>
        <w:rPr>
          <w:b/>
          <w:bCs/>
        </w:rPr>
        <w:t xml:space="preserve">Dispatch by modality. </w:t>
      </w:r>
      <w:r>
        <w:t xml:space="preserve">A single dispatcher routes each source to its handler — audio, video, image, text, or transcript — by the source’s declared modality, not by inspection of content.</w:t>
      </w:r>
    </w:p>
    <w:p>
      <w:pPr>
        <w:pStyle w:val="ListParagraph"/>
        <w:numPr>
          <w:ilvl w:val="0"/>
          <w:numId w:val="2"/>
        </w:numPr>
        <w:spacing w:after="70" w:line="258"/>
      </w:pPr>
      <w:r>
        <w:rPr>
          <w:b/>
          <w:bCs/>
        </w:rPr>
        <w:t xml:space="preserve">Carry the floor. </w:t>
      </w:r>
      <w:r>
        <w:t xml:space="preserve">The objective’s defensibility floor travels with the retrieval request, so downstream layers extract only material capable of meeting it and Targeta’s plan is honoured end-to-end.</w:t>
      </w:r>
    </w:p>
    <w:p>
      <w:pPr>
        <w:pStyle w:val="ListParagraph"/>
        <w:numPr>
          <w:ilvl w:val="0"/>
          <w:numId w:val="2"/>
        </w:numPr>
        <w:spacing w:after="70" w:line="258"/>
      </w:pPr>
      <w:r>
        <w:rPr>
          <w:b/>
          <w:bCs/>
        </w:rPr>
        <w:t xml:space="preserve">No interpretation. </w:t>
      </w:r>
      <w:r>
        <w:t xml:space="preserve">Layer A performs no perception, no classification, no extraction. A source that cannot be retrieved is recorded as such; it is never inferred or substituted.</w:t>
      </w:r>
    </w:p>
    <w:p>
      <w:pPr>
        <w:pStyle w:val="Heading3"/>
      </w:pPr>
      <w:r>
        <w:t xml:space="preserve">The five handlers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Handler</w:t>
            </w:r>
          </w:p>
        </w:tc>
        <w:tc>
          <w:tcPr>
            <w:tcW w:type="dxa" w:w="766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Retrieves</w:t>
            </w:r>
          </w:p>
        </w:tc>
      </w:tr>
      <w:tr>
        <w:tc>
          <w:tcPr>
            <w:tcW w:type="dxa" w:w="17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audio</w:t>
            </w:r>
          </w:p>
        </w:tc>
        <w:tc>
          <w:tcPr>
            <w:tcW w:type="dxa" w:w="76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Broadcast audio streams/files — passed to the ASR + diarization sub-pipeline in Layer B.</w:t>
            </w:r>
          </w:p>
        </w:tc>
      </w:tr>
      <w:tr>
        <w:tc>
          <w:tcPr>
            <w:tcW w:type="dxa" w:w="17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video</w:t>
            </w:r>
          </w:p>
        </w:tc>
        <w:tc>
          <w:tcPr>
            <w:tcW w:type="dxa" w:w="76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Video with its audio track — frames to vision perception, audio track to the audio sub-pipeline.</w:t>
            </w:r>
          </w:p>
        </w:tc>
      </w:tr>
      <w:tr>
        <w:tc>
          <w:tcPr>
            <w:tcW w:type="dxa" w:w="17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image</w:t>
            </w:r>
          </w:p>
        </w:tc>
        <w:tc>
          <w:tcPr>
            <w:tcW w:type="dxa" w:w="76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Still images — to scene perception and OCR where text is present.</w:t>
            </w:r>
          </w:p>
        </w:tc>
      </w:tr>
      <w:tr>
        <w:tc>
          <w:tcPr>
            <w:tcW w:type="dxa" w:w="17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text</w:t>
            </w:r>
          </w:p>
        </w:tc>
        <w:tc>
          <w:tcPr>
            <w:tcW w:type="dxa" w:w="76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Documents, captions, wire copy — to native text perception.</w:t>
            </w:r>
          </w:p>
        </w:tc>
      </w:tr>
      <w:tr>
        <w:tc>
          <w:tcPr>
            <w:tcW w:type="dxa" w:w="17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transcript</w:t>
            </w:r>
          </w:p>
        </w:tc>
        <w:tc>
          <w:tcPr>
            <w:tcW w:type="dxa" w:w="76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Pre-existing transcripts (VTT/SRT/JSON) — to text perception, with the transcript hash recorded for reproducibility.</w:t>
            </w:r>
          </w:p>
        </w:tc>
      </w:tr>
    </w:tbl>
    <w:p>
      <w:pPr>
        <w:pStyle w:val="Heading1"/>
      </w:pPr>
      <w:r>
        <w:t xml:space="preserve">7.  Layer B — Modality Extractors</w:t>
      </w:r>
    </w:p>
    <w:p>
      <w:pPr>
        <w:spacing w:after="140" w:line="264"/>
      </w:pPr>
      <w:r>
        <w:t xml:space="preserve">Layer B runs modality-native perception in parallel, entirely in-tenancy. Each extractor emits its native output together with the genre-form and source-attachment markers that Layer C and the defensibility model consume. Perception is a self-hosted, in-tenancy operation without exception: no raw personal data leaves RMS tenancy for perception.</w:t>
      </w:r>
    </w:p>
    <w:p>
      <w:pPr>
        <w:pStyle w:val="Heading2"/>
      </w:pPr>
      <w:r>
        <w:t xml:space="preserve">7.1  The extractors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Modality</w:t>
            </w:r>
          </w:p>
        </w:tc>
        <w:tc>
          <w:tcPr>
            <w:tcW w:type="dxa" w:w="736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Extraction and emitted signal</w:t>
            </w:r>
          </w:p>
        </w:tc>
      </w:tr>
      <w:tr>
        <w:tc>
          <w:tcPr>
            <w:tcW w:type="dxa" w:w="2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Audio</w:t>
            </w:r>
          </w:p>
        </w:tc>
        <w:tc>
          <w:tcPr>
            <w:tcW w:type="dxa" w:w="7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ASR over Swahili / English / Sheng code-switching, plus speaker diarization. Emits transcript, speaker turns, and prosodic signal (prosody, vocal emphasis, affect, speech rate, pause density).</w:t>
            </w:r>
          </w:p>
        </w:tc>
      </w:tr>
      <w:tr>
        <w:tc>
          <w:tcPr>
            <w:tcW w:type="dxa" w:w="20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Video</w:t>
            </w:r>
          </w:p>
        </w:tc>
        <w:tc>
          <w:tcPr>
            <w:tcW w:type="dxa" w:w="73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Frame/scene perception and on-screen-text OCR, plus the full audio sub-pipeline on the audio track. Emits visual signal (visual emphasis, scene-change density, framing markedness), on-screen text, and the audio outputs.</w:t>
            </w:r>
          </w:p>
        </w:tc>
      </w:tr>
      <w:tr>
        <w:tc>
          <w:tcPr>
            <w:tcW w:type="dxa" w:w="2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Image</w:t>
            </w:r>
          </w:p>
        </w:tc>
        <w:tc>
          <w:tcPr>
            <w:tcW w:type="dxa" w:w="7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Scene perception and OCR where text is present. Emits visual signal (visual emphasis, composition markedness) and any recognised text.</w:t>
            </w:r>
          </w:p>
        </w:tc>
      </w:tr>
      <w:tr>
        <w:tc>
          <w:tcPr>
            <w:tcW w:type="dxa" w:w="20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Text</w:t>
            </w:r>
          </w:p>
        </w:tc>
        <w:tc>
          <w:tcPr>
            <w:tcW w:type="dxa" w:w="73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Native text perception over documents, captions, and wire copy. Emits genre-form and stance signal (lexical intensity, stance intensity, hedging density).</w:t>
            </w:r>
          </w:p>
        </w:tc>
      </w:tr>
    </w:tbl>
    <w:p>
      <w:pPr>
        <w:pStyle w:val="Heading2"/>
      </w:pPr>
      <w:r>
        <w:t xml:space="preserve">7.2  Markers, not verdicts</w:t>
      </w:r>
    </w:p>
    <w:p>
      <w:pPr>
        <w:spacing w:after="140" w:line="264"/>
      </w:pPr>
      <w:r>
        <w:t xml:space="preserve">Layer B emits markers — a source-attachment marker (is a claim attributed and cited), a genre-form label (is the form a report, a monologue, a performance) — that are detections, not verdicts. They are inputs to the defensibility model (Part IV) and to Solva; Layer B never assigns a defensibility class. This is the Mtafiti detect-versus-decide boundary (§24) applied at the point of perception: perception detects; the governed Matrix decides.</w:t>
      </w:r>
    </w:p>
    <w:p>
      <w:pPr>
        <w:pBdr>
          <w:top w:val="single" w:color="1D3A5F" w:sz="4" w:space="6"/>
          <w:left w:val="single" w:color="1D3A5F" w:sz="14" w:space="8"/>
          <w:bottom w:val="single" w:color="1D3A5F" w:sz="4" w:space="6"/>
          <w:right w:val="single" w:color="1D3A5F" w:sz="4" w:space="6"/>
        </w:pBdr>
        <w:shd w:fill="EEF3F8" w:val="clear"/>
        <w:spacing w:after="140" w:before="60"/>
      </w:pPr>
      <w:r>
        <w:rPr>
          <w:b/>
          <w:bCs/>
          <w:color w:val="1D3A5F"/>
        </w:rPr>
        <w:t xml:space="preserve">In-tenancy perception is a hard invariant.  </w:t>
      </w:r>
      <w:r>
        <w:t xml:space="preserve">All Layer B perception runs inside RMS tenancy on self-hosted models. Where external reasoning is used (Part IX), it is reached only through the SyniSense inner gate after de-identification, and the result is re-identified in-tenancy. De-identified data remains personal data and never leaves on that basis; only irreversibly transformed data crosses the outer gate (Part VIII).</w:t>
      </w:r>
    </w:p>
    <w:p>
      <w:pPr>
        <w:pStyle w:val="Heading1"/>
      </w:pPr>
      <w:r>
        <w:t xml:space="preserve">8.  Layer C — Convergence</w:t>
      </w:r>
    </w:p>
    <w:p>
      <w:pPr>
        <w:spacing w:after="140" w:line="264"/>
      </w:pPr>
      <w:r>
        <w:t xml:space="preserve">Layer C is where modality-native outputs become one comparable shape. It normalises the parallel Layer B outputs into the modality-neutral Five-Rings unit (Part III), so that a claim made in a video segment, a radio call-in, and a wire report become units of the same kind, comparable and composable. Service 1 terminates here: the Normalized tier is the product of A→B→C.</w:t>
      </w:r>
    </w:p>
    <w:p>
      <w:pPr>
        <w:pStyle w:val="Heading2"/>
      </w:pPr>
      <w:r>
        <w:t xml:space="preserve">8.1  What convergence does</w:t>
      </w:r>
    </w:p>
    <w:p>
      <w:pPr>
        <w:pStyle w:val="ListParagraph"/>
        <w:numPr>
          <w:ilvl w:val="0"/>
          <w:numId w:val="2"/>
        </w:numPr>
        <w:spacing w:after="70" w:line="258"/>
      </w:pPr>
      <w:r>
        <w:rPr>
          <w:b/>
          <w:bCs/>
        </w:rPr>
        <w:t xml:space="preserve">Normalise to the modality-neutral unit. </w:t>
      </w:r>
      <w:r>
        <w:t xml:space="preserve">Each perceived claim becomes a Five-Rings unit whose content is modality-independent; the modality survives only in Provenance (Ring 1) and Signal (Ring 2).</w:t>
      </w:r>
    </w:p>
    <w:p>
      <w:pPr>
        <w:pStyle w:val="ListParagraph"/>
        <w:numPr>
          <w:ilvl w:val="0"/>
          <w:numId w:val="2"/>
        </w:numPr>
        <w:spacing w:after="70" w:line="258"/>
      </w:pPr>
      <w:r>
        <w:rPr>
          <w:b/>
          <w:bCs/>
        </w:rPr>
        <w:t xml:space="preserve">Build the rings. </w:t>
      </w:r>
      <w:r>
        <w:t xml:space="preserve">Provenance and the Re-extraction Handle are computed deterministically; Signal descriptors are attached with Solva-judged depth; Relational edges are computed where corroboration, contradiction, or retraction is detectable across units.</w:t>
      </w:r>
    </w:p>
    <w:p>
      <w:pPr>
        <w:pStyle w:val="ListParagraph"/>
        <w:numPr>
          <w:ilvl w:val="0"/>
          <w:numId w:val="2"/>
        </w:numPr>
        <w:spacing w:after="70" w:line="258"/>
      </w:pPr>
      <w:r>
        <w:rPr>
          <w:b/>
          <w:bCs/>
        </w:rPr>
        <w:t xml:space="preserve">Stamp Ring 5. </w:t>
      </w:r>
      <w:r>
        <w:t xml:space="preserve">The defensibility stamp is applied by the governed model (Part IV) — the claim-genre ceiling, the source-standing level, the score vector, the Matrix rule reference. A unit leaves convergence only with a complete Ring 5.</w:t>
      </w:r>
    </w:p>
    <w:p>
      <w:pPr>
        <w:pStyle w:val="Heading2"/>
      </w:pPr>
      <w:r>
        <w:t xml:space="preserve">8.2  The Normalized tier</w:t>
      </w:r>
    </w:p>
    <w:p>
      <w:pPr>
        <w:spacing w:after="140" w:line="264"/>
      </w:pPr>
      <w:r>
        <w:t xml:space="preserve">The Normalized tier is the durable store of converged units — the substrate Layer D composes over in Service 2. It is modality-neutral, defensibility-stamped, and relationally linked. Composition over the tier does not re-extract: an objective is answered by composing existing units, and A→B→C is invoked only where the tier lacks a needed unit.</w:t>
      </w:r>
    </w:p>
    <w:p>
      <w:pPr>
        <w:pStyle w:val="Heading1"/>
      </w:pPr>
      <w:r>
        <w:t xml:space="preserve">9.  Layer D — the Extraction Orchestrator</w:t>
      </w:r>
    </w:p>
    <w:p>
      <w:pPr>
        <w:spacing w:after="140" w:line="264"/>
      </w:pPr>
      <w:r>
        <w:t xml:space="preserve">Layer D composes intelligence over the Normalized tier to answer an Objective Request. It exposes consumer-blind primitives and composes them under Northena’s direction and Solva’s depth governance. It is the only engine layer that is objective-shaped; A, B, and C are objective-agnostic.</w:t>
      </w:r>
    </w:p>
    <w:p>
      <w:pPr>
        <w:pStyle w:val="Heading2"/>
      </w:pPr>
      <w:r>
        <w:t xml:space="preserve">9.1  The primitives</w:t>
      </w:r>
    </w:p>
    <w:p>
      <w:pPr>
        <w:spacing w:after="140" w:line="264"/>
      </w:pPr>
      <w:r>
        <w:t xml:space="preserve">Layer D’s primitives are consumer-blind — they compose the same way regardless of where the result will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Primitive</w:t>
            </w:r>
          </w:p>
        </w:tc>
        <w:tc>
          <w:tcPr>
            <w:tcW w:type="dxa" w:w="716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Composes</w:t>
            </w:r>
          </w:p>
        </w:tc>
      </w:tr>
      <w:tr>
        <w:tc>
          <w:tcPr>
            <w:tcW w:type="dxa" w:w="22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extract</w:t>
            </w:r>
          </w:p>
        </w:tc>
        <w:tc>
          <w:tcPr>
            <w:tcW w:type="dxa" w:w="71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Retrieves the units relevant to the objective from the Normalized tier.</w:t>
            </w:r>
          </w:p>
        </w:tc>
      </w:tr>
      <w:tr>
        <w:tc>
          <w:tcPr>
            <w:tcW w:type="dxa" w:w="22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validate</w:t>
            </w:r>
          </w:p>
        </w:tc>
        <w:tc>
          <w:tcPr>
            <w:tcW w:type="dxa" w:w="71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Checks units against corroboration and contradiction (Ring 3) to test a claim’s support.</w:t>
            </w:r>
          </w:p>
        </w:tc>
      </w:tr>
      <w:tr>
        <w:tc>
          <w:tcPr>
            <w:tcW w:type="dxa" w:w="22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forecast</w:t>
            </w:r>
          </w:p>
        </w:tc>
        <w:tc>
          <w:tcPr>
            <w:tcW w:type="dxa" w:w="71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Projects from time-ordered units to a forward estimate.</w:t>
            </w:r>
          </w:p>
        </w:tc>
      </w:tr>
      <w:tr>
        <w:tc>
          <w:tcPr>
            <w:tcW w:type="dxa" w:w="22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simulate</w:t>
            </w:r>
          </w:p>
        </w:tc>
        <w:tc>
          <w:tcPr>
            <w:tcW w:type="dxa" w:w="71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Runs a scenario over the units to test an outcome.</w:t>
            </w:r>
          </w:p>
        </w:tc>
      </w:tr>
      <w:tr>
        <w:tc>
          <w:tcPr>
            <w:tcW w:type="dxa" w:w="22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triangulate</w:t>
            </w:r>
          </w:p>
        </w:tc>
        <w:tc>
          <w:tcPr>
            <w:tcW w:type="dxa" w:w="71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Cross-checks a claim across independent sources and modalities.</w:t>
            </w:r>
          </w:p>
        </w:tc>
      </w:tr>
      <w:tr>
        <w:tc>
          <w:tcPr>
            <w:tcW w:type="dxa" w:w="22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aggregate</w:t>
            </w:r>
          </w:p>
        </w:tc>
        <w:tc>
          <w:tcPr>
            <w:tcW w:type="dxa" w:w="71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Composes many units into a summary or dataset.</w:t>
            </w:r>
          </w:p>
        </w:tc>
      </w:tr>
    </w:tbl>
    <w:p>
      <w:pPr>
        <w:pStyle w:val="Heading2"/>
      </w:pPr>
      <w:r>
        <w:t xml:space="preserve">9.2  Two axes of output</w:t>
      </w:r>
    </w:p>
    <w:p>
      <w:pPr>
        <w:spacing w:after="140" w:line="264"/>
      </w:pPr>
      <w:r>
        <w:t xml:space="preserve">Layer D’s output has two axes. Output-form is Reasoned (a composed conclusion, governed by Solva’s assertion boundary) or Packaged (a dataset or a skill). Consumer-location is in-house or external, and selects the delivery perimeter (§4) — in-house serving through the inner gate, external through the inner gate for live intelligence or the outer gate for file-out. The consumer-location selects the perimeter; it does not change the extraction.</w:t>
      </w:r>
    </w:p>
    <w:p>
      <w:r>
        <w:br w:type="page"/>
      </w:r>
    </w:p>
    <w:p>
      <w:pPr>
        <w:pBdr>
          <w:left w:val="single" w:color="16202B" w:sz="18" w:space="10"/>
        </w:pBdr>
        <w:shd w:fill="1D3A5F" w:val="clear"/>
        <w:spacing w:after="130" w:before="260"/>
      </w:pPr>
      <w:r>
        <w:rPr>
          <w:b/>
          <w:bCs/>
          <w:color w:val="FFFFFF"/>
          <w:sz w:val="24"/>
          <w:szCs w:val="24"/>
        </w:rPr>
        <w:t xml:space="preserve">Part III — The Five Rings (the Unit of Intelligence)</w:t>
      </w:r>
    </w:p>
    <w:p>
      <w:pPr>
        <w:pStyle w:val="Heading1"/>
      </w:pPr>
      <w:r>
        <w:t xml:space="preserve">10.  The Unit and Its Rings</w:t>
      </w:r>
    </w:p>
    <w:p>
      <w:pPr>
        <w:spacing w:after="140" w:line="264"/>
      </w:pPr>
      <w:r>
        <w:t xml:space="preserve">Every unit of intelligence is a modality-neutral claim wrapped in five metadata rings. The rings separate the deterministic and always-present (Provenance, Re-extraction, the Defensibility stamp) from the judged (Signal depth) and the relational (edges to other units). The unit is the atom the whole system operates on: the engine produces it, the governors reason over it, delivery wraps it. Its shape is frozen as five_rings@v0; a unit without a complete Ring 5 is invalid and cannot enter the Normalized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3"/>
              <w:left w:val="single" w:color="1D3A5F" w:sz="8"/>
              <w:bottom w:val="single" w:color="D0D7DE" w:sz="3"/>
              <w:right w:val="single" w:color="D0D7DE" w:sz="3"/>
            </w:tcBorders>
            <w:shd w:fill="F6F8FA" w:val="clear"/>
            <w:tcMar>
              <w:top w:type="dxa" w:w="120"/>
              <w:left w:type="dxa" w:w="150"/>
              <w:bottom w:type="dxa" w:w="120"/>
              <w:right w:type="dxa" w:w="150"/>
            </w:tcMar>
          </w:tcPr>
          <w:p>
            <w:pPr>
              <w:spacing w:after="70"/>
            </w:pPr>
            <w:r>
              <w:rPr>
                <w:rFonts w:ascii="Consolas" w:cs="Consolas" w:eastAsia="Consolas" w:hAnsi="Consolas"/>
                <w:b/>
                <w:bCs/>
                <w:color w:val="475569"/>
                <w:sz w:val="15"/>
                <w:szCs w:val="15"/>
              </w:rPr>
              <w:t xml:space="preserve">the unit — anchor + five rings (shape, behavioural)</w:t>
            </w:r>
          </w:p>
          <w:p>
            <w:pPr>
              <w:spacing w:after="0" w:line="234"/>
            </w:pPr>
            <w:r>
              <w:rPr>
                <w:rFonts w:ascii="Consolas" w:cs="Consolas" w:eastAsia="Consolas" w:hAnsi="Consolas"/>
                <w:color w:val="1F2733"/>
                <w:sz w:val="16"/>
                <w:szCs w:val="16"/>
              </w:rPr>
              <w:t xml:space="preserve">Unit:</w:t>
            </w:r>
          </w:p>
          <w:p>
            <w:pPr>
              <w:spacing w:after="0" w:line="234"/>
            </w:pPr>
            <w:r>
              <w:rPr>
                <w:rFonts w:ascii="Consolas" w:cs="Consolas" w:eastAsia="Consolas" w:hAnsi="Consolas"/>
                <w:color w:val="1F2733"/>
                <w:sz w:val="16"/>
                <w:szCs w:val="16"/>
              </w:rPr>
              <w:t xml:space="preserve">  unit_id            # stable identity</w:t>
            </w:r>
          </w:p>
          <w:p>
            <w:pPr>
              <w:spacing w:after="0" w:line="234"/>
            </w:pPr>
            <w:r>
              <w:rPr>
                <w:rFonts w:ascii="Consolas" w:cs="Consolas" w:eastAsia="Consolas" w:hAnsi="Consolas"/>
                <w:color w:val="1F2733"/>
                <w:sz w:val="16"/>
                <w:szCs w:val="16"/>
              </w:rPr>
              <w:t xml:space="preserve">  content            # the modality-neutral assertion</w:t>
            </w:r>
          </w:p>
          <w:p>
            <w:pPr>
              <w:spacing w:after="0" w:line="234"/>
            </w:pPr>
            <w:r>
              <w:rPr>
                <w:rFonts w:ascii="Consolas" w:cs="Consolas" w:eastAsia="Consolas" w:hAnsi="Consolas"/>
                <w:color w:val="1F2733"/>
                <w:sz w:val="16"/>
                <w:szCs w:val="16"/>
              </w:rPr>
              <w:t xml:space="preserve">  ring1_provenance   # where it came from (deterministic)</w:t>
            </w:r>
          </w:p>
          <w:p>
            <w:pPr>
              <w:spacing w:after="0" w:line="234"/>
            </w:pPr>
            <w:r>
              <w:rPr>
                <w:rFonts w:ascii="Consolas" w:cs="Consolas" w:eastAsia="Consolas" w:hAnsi="Consolas"/>
                <w:color w:val="1F2733"/>
                <w:sz w:val="16"/>
                <w:szCs w:val="16"/>
              </w:rPr>
              <w:t xml:space="preserve">  ring2_signal       # modality-native descriptors, depth-judged</w:t>
            </w:r>
          </w:p>
          <w:p>
            <w:pPr>
              <w:spacing w:after="0" w:line="234"/>
            </w:pPr>
            <w:r>
              <w:rPr>
                <w:rFonts w:ascii="Consolas" w:cs="Consolas" w:eastAsia="Consolas" w:hAnsi="Consolas"/>
                <w:color w:val="1F2733"/>
                <w:sz w:val="16"/>
                <w:szCs w:val="16"/>
              </w:rPr>
              <w:t xml:space="preserve">  ring3_relational   # typed edges to other units</w:t>
            </w:r>
          </w:p>
          <w:p>
            <w:pPr>
              <w:spacing w:after="0" w:line="234"/>
            </w:pPr>
            <w:r>
              <w:rPr>
                <w:rFonts w:ascii="Consolas" w:cs="Consolas" w:eastAsia="Consolas" w:hAnsi="Consolas"/>
                <w:color w:val="1F2733"/>
                <w:sz w:val="16"/>
                <w:szCs w:val="16"/>
              </w:rPr>
              <w:t xml:space="preserve">  ring4_reextraction # deterministic means to reproduce the unit</w:t>
            </w:r>
          </w:p>
          <w:p>
            <w:pPr>
              <w:spacing w:after="0" w:line="234"/>
            </w:pPr>
            <w:r>
              <w:rPr>
                <w:rFonts w:ascii="Consolas" w:cs="Consolas" w:eastAsia="Consolas" w:hAnsi="Consolas"/>
                <w:color w:val="1F2733"/>
                <w:sz w:val="16"/>
                <w:szCs w:val="16"/>
              </w:rPr>
              <w:t xml:space="preserve">  ring5_defensibility # how defensibly it may be asserted (always present)</w:t>
            </w:r>
          </w:p>
        </w:tc>
      </w:tr>
    </w:tbl>
    <w:p>
      <w:pPr>
        <w:pStyle w:val="Heading1"/>
      </w:pPr>
      <w:r>
        <w:t xml:space="preserve">11.  Ring 1 — Provenance</w:t>
      </w:r>
    </w:p>
    <w:p>
      <w:pPr>
        <w:spacing w:after="140" w:line="264"/>
      </w:pPr>
      <w:r>
        <w:t xml:space="preserve">Provenance is deterministic and always present. It records where a unit came from, precisely enough to locate and reproduce it, and it carries source-type metadata that the defensibility model reads at the feed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Field</w:t>
            </w:r>
          </w:p>
        </w:tc>
        <w:tc>
          <w:tcPr>
            <w:tcW w:type="dxa" w:w="676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Content</w:t>
            </w:r>
          </w:p>
        </w:tc>
      </w:tr>
      <w:tr>
        <w:tc>
          <w:tcPr>
            <w:tcW w:type="dxa" w:w="26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source_file_ref</w:t>
            </w:r>
          </w:p>
        </w:tc>
        <w:tc>
          <w:tcPr>
            <w:tcW w:type="dxa" w:w="6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The raw source the unit was extracted from.</w:t>
            </w:r>
          </w:p>
        </w:tc>
      </w:tr>
      <w:tr>
        <w:tc>
          <w:tcPr>
            <w:tcW w:type="dxa" w:w="26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modality</w:t>
            </w:r>
          </w:p>
        </w:tc>
        <w:tc>
          <w:tcPr>
            <w:tcW w:type="dxa" w:w="67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The perception modality: text | audio | video | image | composite. This is the perception mechanism, not the source type.</w:t>
            </w:r>
          </w:p>
        </w:tc>
      </w:tr>
      <w:tr>
        <w:tc>
          <w:tcPr>
            <w:tcW w:type="dxa" w:w="26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locator</w:t>
            </w:r>
          </w:p>
        </w:tc>
        <w:tc>
          <w:tcPr>
            <w:tcW w:type="dxa" w:w="6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A modality-appropriate position: timestamp for audio/video, coordinate for image, offset for text.</w:t>
            </w:r>
          </w:p>
        </w:tc>
      </w:tr>
      <w:tr>
        <w:tc>
          <w:tcPr>
            <w:tcW w:type="dxa" w:w="26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speaker_or_author</w:t>
            </w:r>
          </w:p>
        </w:tc>
        <w:tc>
          <w:tcPr>
            <w:tcW w:type="dxa" w:w="67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The identified speaker or author, where known.</w:t>
            </w:r>
          </w:p>
        </w:tc>
      </w:tr>
      <w:tr>
        <w:tc>
          <w:tcPr>
            <w:tcW w:type="dxa" w:w="26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capture_context</w:t>
            </w:r>
          </w:p>
        </w:tc>
        <w:tc>
          <w:tcPr>
            <w:tcW w:type="dxa" w:w="6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Programme, feed_id (which keys the source-standing declaration), and source-type (e.g. that a unit originated from a social feed).</w:t>
            </w:r>
          </w:p>
        </w:tc>
      </w:tr>
    </w:tbl>
    <w:p>
      <w:pPr>
        <w:pBdr>
          <w:top w:val="single" w:color="1D3A5F" w:sz="4" w:space="6"/>
          <w:left w:val="single" w:color="1D3A5F" w:sz="14" w:space="8"/>
          <w:bottom w:val="single" w:color="1D3A5F" w:sz="4" w:space="6"/>
          <w:right w:val="single" w:color="1D3A5F" w:sz="4" w:space="6"/>
        </w:pBdr>
        <w:shd w:fill="EEF3F8" w:val="clear"/>
        <w:spacing w:after="140" w:before="60"/>
      </w:pPr>
      <w:r>
        <w:rPr>
          <w:b/>
          <w:bCs/>
          <w:color w:val="1D3A5F"/>
        </w:rPr>
        <w:t xml:space="preserve">Source-type is provenance, not a modality.  </w:t>
      </w:r>
      <w:r>
        <w:t xml:space="preserve">A social-media post is, by perception modality, text or video — “social” is its source type and lives in the capture context, not in the modality enum. The modality axis names how the unit was perceived; the source-type names where it came from. Conflating them would corrupt the perception axis.</w:t>
      </w:r>
    </w:p>
    <w:p>
      <w:pPr>
        <w:pStyle w:val="Heading1"/>
      </w:pPr>
      <w:r>
        <w:t xml:space="preserve">12.  Ring 2 — Signal (frozen: signal_ring_dimensions@v0)</w:t>
      </w:r>
    </w:p>
    <w:p>
      <w:pPr>
        <w:spacing w:after="140" w:line="264"/>
      </w:pPr>
      <w:r>
        <w:t xml:space="preserve">The Signal ring carries modality-native descriptors whose depth Solva judges. It measures observable, graded properties of the unit — how emphatic, how marked, how hedged — as floats in [0,1]. Two rules are binding and settle what the ring may and may not carry.</w:t>
      </w:r>
    </w:p>
    <w:p>
      <w:pPr>
        <w:pStyle w:val="Heading3"/>
      </w:pPr>
      <w:r>
        <w:t xml:space="preserve">Signals measure markedness, not intent</w:t>
      </w:r>
    </w:p>
    <w:p>
      <w:pPr>
        <w:spacing w:after="140" w:line="264"/>
      </w:pPr>
      <w:r>
        <w:t xml:space="preserve">A descriptor measures an observable property; it does not name an inferred intent. “Framing markedness” is how deliberately framed a shot is — a perception can score that; “framing intent” is a downstream inference and is not a signal. Any descriptor that names an intent is renamed to the markedness it actually measures. Intent, where it matters, is inferred later by Solva or Layer D — never carried as a raw signal.</w:t>
      </w:r>
    </w:p>
    <w:p>
      <w:pPr>
        <w:pStyle w:val="Heading3"/>
      </w:pPr>
      <w:r>
        <w:t xml:space="preserve">Facts are not signals</w:t>
      </w:r>
    </w:p>
    <w:p>
      <w:pPr>
        <w:spacing w:after="140" w:line="264"/>
      </w:pPr>
      <w:r>
        <w:t xml:space="preserve">A boolean fact — for example, that on-screen text is present — is not a Signal dimension. Presence is Provenance or a Relational edge to an OCR-derived unit; the Signal ring carries graded depth, not presence flags. Forcing a boolean into a [0,1] dimension produces a meaningless value and blurs the ring’s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Modality</w:t>
            </w:r>
          </w:p>
        </w:tc>
        <w:tc>
          <w:tcPr>
            <w:tcW w:type="dxa" w:w="736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Dimensions (float [0,1], depth-judged)</w:t>
            </w:r>
          </w:p>
        </w:tc>
      </w:tr>
      <w:tr>
        <w:tc>
          <w:tcPr>
            <w:tcW w:type="dxa" w:w="2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Audio</w:t>
            </w:r>
          </w:p>
        </w:tc>
        <w:tc>
          <w:tcPr>
            <w:tcW w:type="dxa" w:w="7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prosody, vocal_emphasis, affect_valence, affect_arousal, speech_rate, pause_density</w:t>
            </w:r>
          </w:p>
        </w:tc>
      </w:tr>
      <w:tr>
        <w:tc>
          <w:tcPr>
            <w:tcW w:type="dxa" w:w="20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Video</w:t>
            </w:r>
          </w:p>
        </w:tc>
        <w:tc>
          <w:tcPr>
            <w:tcW w:type="dxa" w:w="73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visual_emphasis, scene_change_density, framing_markedness</w:t>
            </w:r>
          </w:p>
        </w:tc>
      </w:tr>
      <w:tr>
        <w:tc>
          <w:tcPr>
            <w:tcW w:type="dxa" w:w="2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Image</w:t>
            </w:r>
          </w:p>
        </w:tc>
        <w:tc>
          <w:tcPr>
            <w:tcW w:type="dxa" w:w="7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visual_emphasis, composition_markedness</w:t>
            </w:r>
          </w:p>
        </w:tc>
      </w:tr>
      <w:tr>
        <w:tc>
          <w:tcPr>
            <w:tcW w:type="dxa" w:w="20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Text</w:t>
            </w:r>
          </w:p>
        </w:tc>
        <w:tc>
          <w:tcPr>
            <w:tcW w:type="dxa" w:w="73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lexical_intensity, stance_intensity, hedging_density</w:t>
            </w:r>
          </w:p>
        </w:tc>
      </w:tr>
      <w:tr>
        <w:tc>
          <w:tcPr>
            <w:tcW w:type="dxa" w:w="2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Composite</w:t>
            </w:r>
          </w:p>
        </w:tc>
        <w:tc>
          <w:tcPr>
            <w:tcW w:type="dxa" w:w="7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no native dimensions — aggregates from constituent modalities</w:t>
            </w:r>
          </w:p>
        </w:tc>
      </w:tr>
    </w:tbl>
    <w:p>
      <w:pPr>
        <w:spacing w:after="140" w:line="264"/>
      </w:pPr>
      <w:r>
        <w:t xml:space="preserve">The dimension set is frozen and versioned (signal_ring_dimensions@v0) and extensible by re-bless: real perception may emit descriptors worth adding, and the set revs by the snapshot mechanism rather than being broken open.</w:t>
      </w:r>
    </w:p>
    <w:p>
      <w:pPr>
        <w:pStyle w:val="Heading1"/>
      </w:pPr>
      <w:r>
        <w:t xml:space="preserve">13.  Ring 3 — Relational</w:t>
      </w:r>
    </w:p>
    <w:p>
      <w:pPr>
        <w:spacing w:after="140" w:line="264"/>
      </w:pPr>
      <w:r>
        <w:t xml:space="preserve">The Relational ring is the estate graph. It carries typed edges from a unit to other units, which is how the system represents that claims support, dispute, or withdraw one another across the archive.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Edge type</w:t>
            </w:r>
          </w:p>
        </w:tc>
        <w:tc>
          <w:tcPr>
            <w:tcW w:type="dxa" w:w="716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Meaning</w:t>
            </w:r>
          </w:p>
        </w:tc>
      </w:tr>
      <w:tr>
        <w:tc>
          <w:tcPr>
            <w:tcW w:type="dxa" w:w="22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corroborates</w:t>
            </w:r>
          </w:p>
        </w:tc>
        <w:tc>
          <w:tcPr>
            <w:tcW w:type="dxa" w:w="71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The unit supports a target unit’s claim.</w:t>
            </w:r>
          </w:p>
        </w:tc>
      </w:tr>
      <w:tr>
        <w:tc>
          <w:tcPr>
            <w:tcW w:type="dxa" w:w="22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contradicts</w:t>
            </w:r>
          </w:p>
        </w:tc>
        <w:tc>
          <w:tcPr>
            <w:tcW w:type="dxa" w:w="71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The unit disputes a target unit’s claim.</w:t>
            </w:r>
          </w:p>
        </w:tc>
      </w:tr>
      <w:tr>
        <w:tc>
          <w:tcPr>
            <w:tcW w:type="dxa" w:w="22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retracts</w:t>
            </w:r>
          </w:p>
        </w:tc>
        <w:tc>
          <w:tcPr>
            <w:tcW w:type="dxa" w:w="71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The unit withdraws a target unit’s claim (a correction, a retraction).</w:t>
            </w:r>
          </w:p>
        </w:tc>
      </w:tr>
    </w:tbl>
    <w:p>
      <w:pPr>
        <w:pBdr>
          <w:top w:val="single" w:color="1D3A5F" w:sz="4" w:space="6"/>
          <w:left w:val="single" w:color="1D3A5F" w:sz="14" w:space="8"/>
          <w:bottom w:val="single" w:color="1D3A5F" w:sz="4" w:space="6"/>
          <w:right w:val="single" w:color="1D3A5F" w:sz="4" w:space="6"/>
        </w:pBdr>
        <w:shd w:fill="EEF3F8" w:val="clear"/>
        <w:spacing w:after="140" w:before="60"/>
      </w:pPr>
      <w:r>
        <w:rPr>
          <w:b/>
          <w:bCs/>
          <w:color w:val="1D3A5F"/>
        </w:rPr>
        <w:t xml:space="preserve">Edges are relations, not judgments.  </w:t>
      </w:r>
      <w:r>
        <w:t xml:space="preserve">An edge records that one unit corroborates or retracts another, and points to the target unit and, where it exists, an evidence reference. It carries no confidence scalar: a confidence is an inference judgment, and judgment belongs to Solva’s reasoning faculty, not to the graph layer. Solva’s Tension stage reads these edges to surface contradiction and retraction — it does not average them into a score.</w:t>
      </w:r>
    </w:p>
    <w:p>
      <w:pPr>
        <w:pStyle w:val="Heading1"/>
      </w:pPr>
      <w:r>
        <w:t xml:space="preserve">14.  Ring 4 — the Re-extraction Handle (frozen: extraction_params@v0)</w:t>
      </w:r>
    </w:p>
    <w:p>
      <w:pPr>
        <w:spacing w:after="140" w:line="264"/>
      </w:pPr>
      <w:r>
        <w:t xml:space="preserve">The Re-extraction Handle is the deterministic means to reproduce a unit byte-identically: the raw pointer, the perception model and version, and the extraction parameters. Its purpose is reproducibility, and the parameter set is defined by what determines the output — not by what merely identifies the run.</w:t>
      </w:r>
    </w:p>
    <w:p>
      <w:pPr>
        <w:pStyle w:val="Heading3"/>
      </w:pPr>
      <w:r>
        <w:t xml:space="preserve">Output-determining, not run-identifying</w:t>
      </w:r>
    </w:p>
    <w:p>
      <w:pPr>
        <w:spacing w:after="140" w:line="264"/>
      </w:pPr>
      <w:r>
        <w:t xml:space="preserve">Provider and version identify the run; the parameters that determine the result are the mandatory set. For audio these include the sample rate, the chunking, and the decoding parameters; for video the keyframe strategy and interval plus the audio sub-block; for image the target resolution and OCR engine; for text the source format and encoding. These are mandatory-when-that-modality, because two runs identical on provider and version but differing on chunking produce different units.</w:t>
      </w:r>
    </w:p>
    <w:p>
      <w:pPr>
        <w:pStyle w:val="Heading3"/>
      </w:pPr>
      <w:r>
        <w:t xml:space="preserve">Determinism requires temperature = 0</w:t>
      </w:r>
    </w:p>
    <w:p>
      <w:pPr>
        <w:spacing w:after="140" w:line="264"/>
      </w:pPr>
      <w:r>
        <w:t xml:space="preserve">A non-zero temperature makes extraction stochastic and cannot reproduce byte-identically regardless of what else is pinned. The reproducibility path requires temperature = 0; a non-zero run is flagged non-reproducible-by-construction and is not silently compared. Provider-specific parameters beyond the reproducibility set live in an explicit provider-extras slot — declared, not hidden.</w:t>
      </w:r>
    </w:p>
    <w:p>
      <w:pPr>
        <w:pStyle w:val="Heading3"/>
      </w:pPr>
      <w:r>
        <w:t xml:space="preserve">Timestamp is provenance, not reproducibility</w:t>
      </w:r>
    </w:p>
    <w:p>
      <w:pPr>
        <w:spacing w:after="140" w:line="264"/>
      </w:pPr>
      <w:r>
        <w:t xml:space="preserve">The extraction time records when a run happened; it does not determine the output and is excluded from the reproducibility comparison set. Two runs identical but for their timestamps must reproduce identically; if they do not, the non-determinism lies elsewhere and the timestamp must not mask it.</w:t>
      </w:r>
    </w:p>
    <w:p>
      <w:pPr>
        <w:pStyle w:val="Heading1"/>
      </w:pPr>
      <w:r>
        <w:t xml:space="preserve">15.  Ring 5 — Defensibility</w:t>
      </w:r>
    </w:p>
    <w:p>
      <w:pPr>
        <w:spacing w:after="140" w:line="264"/>
      </w:pPr>
      <w:r>
        <w:t xml:space="preserve">The Defensibility ring is the integrity stamp, always present, and the reason the system’s output is sellable: every unit is honest about how defensibly it may be asserted. Its fields carry the model specified in full in Part IV.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Field</w:t>
            </w:r>
          </w:p>
        </w:tc>
        <w:tc>
          <w:tcPr>
            <w:tcW w:type="dxa" w:w="686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Content</w:t>
            </w:r>
          </w:p>
        </w:tc>
      </w:tr>
      <w:tr>
        <w:tc>
          <w:tcPr>
            <w:tcW w:type="dxa" w:w="25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defensibility_class</w:t>
            </w:r>
          </w:p>
        </w:tc>
        <w:tc>
          <w:tcPr>
            <w:tcW w:type="dxa" w:w="68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fact | utterance | non_factual — what the unit may be asserted as.</w:t>
            </w:r>
          </w:p>
        </w:tc>
      </w:tr>
      <w:tr>
        <w:tc>
          <w:tcPr>
            <w:tcW w:type="dxa" w:w="25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claim_genre</w:t>
            </w:r>
          </w:p>
        </w:tc>
        <w:tc>
          <w:tcPr>
            <w:tcW w:type="dxa" w:w="68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The genre that sets the ceiling (report, speech, opinion, advertisement, drama, call_in, documentary).</w:t>
            </w:r>
          </w:p>
        </w:tc>
      </w:tr>
      <w:tr>
        <w:tc>
          <w:tcPr>
            <w:tcW w:type="dxa" w:w="25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source_standing</w:t>
            </w:r>
          </w:p>
        </w:tc>
        <w:tc>
          <w:tcPr>
            <w:tcW w:type="dxa" w:w="68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The standing that sets the level under the ceiling (accountable, licensed wire, aggregator, UGC, unknown).</w:t>
            </w:r>
          </w:p>
        </w:tc>
      </w:tr>
      <w:tr>
        <w:tc>
          <w:tcPr>
            <w:tcW w:type="dxa" w:w="25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score_vector</w:t>
            </w:r>
          </w:p>
        </w:tc>
        <w:tc>
          <w:tcPr>
            <w:tcW w:type="dxa" w:w="68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The graded components: genre_ceiling, source_standing, corroboration, recency_validity, contested.</w:t>
            </w:r>
          </w:p>
        </w:tc>
      </w:tr>
      <w:tr>
        <w:tc>
          <w:tcPr>
            <w:tcW w:type="dxa" w:w="25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matrix_rule_ref</w:t>
            </w:r>
          </w:p>
        </w:tc>
        <w:tc>
          <w:tcPr>
            <w:tcW w:type="dxa" w:w="68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The Qualification Matrix rule that produced the verdict — the auditability handle.</w:t>
            </w:r>
          </w:p>
        </w:tc>
      </w:tr>
      <w:tr>
        <w:tc>
          <w:tcPr>
            <w:tcW w:type="dxa" w:w="25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contested_status</w:t>
            </w:r>
          </w:p>
        </w:tc>
        <w:tc>
          <w:tcPr>
            <w:tcW w:type="dxa" w:w="68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uncontested | contested | retracted — from the Relational graph.</w:t>
            </w:r>
          </w:p>
        </w:tc>
      </w:tr>
    </w:tbl>
    <w:p>
      <w:pPr>
        <w:pBdr>
          <w:top w:val="single" w:color="1D3A5F" w:sz="4" w:space="6"/>
          <w:left w:val="single" w:color="1D3A5F" w:sz="14" w:space="8"/>
          <w:bottom w:val="single" w:color="1D3A5F" w:sz="4" w:space="6"/>
          <w:right w:val="single" w:color="1D3A5F" w:sz="4" w:space="6"/>
        </w:pBdr>
        <w:shd w:fill="EEF3F8" w:val="clear"/>
        <w:spacing w:after="140" w:before="60"/>
      </w:pPr>
      <w:r>
        <w:rPr>
          <w:b/>
          <w:bCs/>
          <w:color w:val="1D3A5F"/>
        </w:rPr>
        <w:t xml:space="preserve">The unit and its audit are separate envelopes.  </w:t>
      </w:r>
      <w:r>
        <w:t xml:space="preserve">The unit is the output of a stamp decision; the audit of that decision — why a stamp was assigned, why a floor was refused — is a separate trace with a different lifecycle. The unit schema is frozen; the audit trace evolves. Refusal and decision reasons therefore live in a stamp-audit side-channel, not on the unit; Northena’s Ledger absorbs them, joined by unit_id and trace_id. The Defensibility ring stays byte-identical to its frozen shape while the audit format is free to change.</w:t>
      </w:r>
    </w:p>
    <w:p>
      <w:r>
        <w:br w:type="page"/>
      </w:r>
    </w:p>
    <w:p>
      <w:pPr>
        <w:pBdr>
          <w:left w:val="single" w:color="16202B" w:sz="18" w:space="10"/>
        </w:pBdr>
        <w:shd w:fill="1D3A5F" w:val="clear"/>
        <w:spacing w:after="130" w:before="260"/>
      </w:pPr>
      <w:r>
        <w:rPr>
          <w:b/>
          <w:bCs/>
          <w:color w:val="FFFFFF"/>
          <w:sz w:val="24"/>
          <w:szCs w:val="24"/>
        </w:rPr>
        <w:t xml:space="preserve">Part IV — The Defensibility Model</w:t>
      </w:r>
    </w:p>
    <w:p>
      <w:pPr>
        <w:pStyle w:val="Heading1"/>
      </w:pPr>
      <w:r>
        <w:t xml:space="preserve">16.  What Defensibility Is</w:t>
      </w:r>
    </w:p>
    <w:p>
      <w:pPr>
        <w:spacing w:after="140" w:line="264"/>
      </w:pPr>
      <w:r>
        <w:t xml:space="preserve">The system does not judge truth. It measures how defensibly a claim may be asserted, and it never presents a claim as more defensible than it can be defended. Truth on a contested claim is not a machine judgment; defensibility is — it is a function of the genre of the claim, the standing of its source, its corroboration, its recency, and whether it has been contested. This model is what makes the platform sellable: a buyer receives intelligence that is honest about its own standing, and the system can never be made to launder an opinion or a performance into a fact.</w:t>
      </w:r>
    </w:p>
    <w:p>
      <w:pPr>
        <w:pStyle w:val="Heading1"/>
      </w:pPr>
      <w:r>
        <w:t xml:space="preserve">17.  Two Axes, Never Collapsed</w:t>
      </w:r>
    </w:p>
    <w:p>
      <w:pPr>
        <w:spacing w:after="140" w:line="264"/>
      </w:pPr>
      <w:r>
        <w:t xml:space="preserve">Defensibility is set by two axes that are held separate at every point in the system. Collapsing them into a single score would allow authority to launder genre — the precise failure the model exists to prevent.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960"/>
      </w:tblGrid>
      <w:tr>
        <w:tc>
          <w:tcPr>
            <w:tcW w:type="dxa" w:w="230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Axis</w:t>
            </w:r>
          </w:p>
        </w:tc>
        <w:tc>
          <w:tcPr>
            <w:tcW w:type="dxa" w:w="310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Sets</w:t>
            </w:r>
          </w:p>
        </w:tc>
        <w:tc>
          <w:tcPr>
            <w:tcW w:type="dxa" w:w="396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Rule</w:t>
            </w:r>
          </w:p>
        </w:tc>
      </w:tr>
      <w:tr>
        <w:tc>
          <w:tcPr>
            <w:tcW w:type="dxa" w:w="23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b/>
                <w:bCs/>
              </w:rPr>
              <w:t xml:space="preserve">Claim-genre</w:t>
            </w:r>
          </w:p>
        </w:tc>
        <w:tc>
          <w:tcPr>
            <w:tcW w:type="dxa" w:w="31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The ceiling — the most a claim of this genre could ever be asserted as.</w:t>
            </w:r>
          </w:p>
        </w:tc>
        <w:tc>
          <w:tcPr>
            <w:tcW w:type="dxa" w:w="39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Authority-blind. A report can reach fact; a speech never exceeds ‘was stated’; an advertisement or drama is non-factual — regardless of how trusted the feed is.</w:t>
            </w:r>
          </w:p>
        </w:tc>
      </w:tr>
      <w:tr>
        <w:tc>
          <w:tcPr>
            <w:tcW w:type="dxa" w:w="23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b/>
                <w:bCs/>
              </w:rPr>
              <w:t xml:space="preserve">Source-standing</w:t>
            </w:r>
          </w:p>
        </w:tc>
        <w:tc>
          <w:tcPr>
            <w:tcW w:type="dxa" w:w="31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The level beneath the ceiling.</w:t>
            </w:r>
          </w:p>
        </w:tc>
        <w:tc>
          <w:tcPr>
            <w:tcW w:type="dxa" w:w="39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Can only lower, never raise. An unattributed UGC report does not become a fact because the report genre could reach fact — standing lowers it to utterance.</w:t>
            </w:r>
          </w:p>
        </w:tc>
      </w:tr>
    </w:tbl>
    <w:p>
      <w:pPr>
        <w:pStyle w:val="Heading3"/>
      </w:pPr>
      <w:r>
        <w:t xml:space="preserve">Worked consequences</w:t>
      </w:r>
    </w:p>
    <w:p>
      <w:pPr>
        <w:pStyle w:val="ListParagraph"/>
        <w:numPr>
          <w:ilvl w:val="0"/>
          <w:numId w:val="2"/>
        </w:numPr>
        <w:spacing w:after="70" w:line="258"/>
      </w:pPr>
      <w:r>
        <w:rPr>
          <w:b/>
          <w:bCs/>
        </w:rPr>
        <w:t xml:space="preserve">A political speech on the most trusted feed is utterance, not fact. </w:t>
      </w:r>
      <w:r>
        <w:t xml:space="preserve">The genre ceiling for speech is ‘was stated’; no source standing raises it. The system can attribute the statement, never assert it as true.</w:t>
      </w:r>
    </w:p>
    <w:p>
      <w:pPr>
        <w:pStyle w:val="ListParagraph"/>
        <w:numPr>
          <w:ilvl w:val="0"/>
          <w:numId w:val="2"/>
        </w:numPr>
        <w:spacing w:after="70" w:line="258"/>
      </w:pPr>
      <w:r>
        <w:rPr>
          <w:b/>
          <w:bCs/>
        </w:rPr>
        <w:t xml:space="preserve">An advertisement read in an anchor’s voice is non-factual. </w:t>
      </w:r>
      <w:r>
        <w:t xml:space="preserve">The genre ceiling for advertisement is non-factual; the anchor’s standing cannot lift it. Native advertising cannot be laundered into news.</w:t>
      </w:r>
    </w:p>
    <w:p>
      <w:pPr>
        <w:pStyle w:val="ListParagraph"/>
        <w:numPr>
          <w:ilvl w:val="0"/>
          <w:numId w:val="2"/>
        </w:numPr>
        <w:spacing w:after="70" w:line="258"/>
      </w:pPr>
      <w:r>
        <w:rPr>
          <w:b/>
          <w:bCs/>
        </w:rPr>
        <w:t xml:space="preserve">An unattributed ‘breaking’ post is utterance, not fact. </w:t>
      </w:r>
      <w:r>
        <w:t xml:space="preserve">Report genre could reach fact, but UGC standing lowers it. The claim is carried as ‘was stated’ until corroborated by accountable sourcing.</w:t>
      </w:r>
    </w:p>
    <w:p>
      <w:pPr>
        <w:pStyle w:val="Heading1"/>
      </w:pPr>
      <w:r>
        <w:t xml:space="preserve">18.  The Qualification Matrix (frozen: qualification_matrix@v0)</w:t>
      </w:r>
    </w:p>
    <w:p>
      <w:pPr>
        <w:spacing w:after="140" w:line="264"/>
      </w:pPr>
      <w:r>
        <w:t xml:space="preserve">The Qualification Matrix is the governed taxonomy that maps a claim’s genre and context to a defensibility verdict. It is the mechanism by which the two axes produce a class. Three properties define it.</w:t>
      </w:r>
    </w:p>
    <w:p>
      <w:pPr>
        <w:pStyle w:val="ListParagraph"/>
        <w:numPr>
          <w:ilvl w:val="0"/>
          <w:numId w:val="2"/>
        </w:numPr>
        <w:spacing w:after="70" w:line="258"/>
      </w:pPr>
      <w:r>
        <w:rPr>
          <w:b/>
          <w:bCs/>
        </w:rPr>
        <w:t xml:space="preserve">Governed, not learned. </w:t>
      </w:r>
      <w:r>
        <w:t xml:space="preserve">The Matrix is a versioned, inspectable table — not a model weight. Every verdict a unit carries is a Matrix lookup that records its rule reference (matrix_rule_ref), so every verdict is traceable to a governed rule and is auditable.</w:t>
      </w:r>
    </w:p>
    <w:p>
      <w:pPr>
        <w:pStyle w:val="ListParagraph"/>
        <w:numPr>
          <w:ilvl w:val="0"/>
          <w:numId w:val="2"/>
        </w:numPr>
        <w:spacing w:after="70" w:line="258"/>
      </w:pPr>
      <w:r>
        <w:rPr>
          <w:b/>
          <w:bCs/>
        </w:rPr>
        <w:t xml:space="preserve">Editorially owned. </w:t>
      </w:r>
      <w:r>
        <w:t xml:space="preserve">The Matrix is owned and edited by the MEA (the editorial authority) through a versioned editor with an invariant-snapshot diff on every edit. The system ships the mechanism; the cell content is MEA-authored.</w:t>
      </w:r>
    </w:p>
    <w:p>
      <w:pPr>
        <w:pStyle w:val="ListParagraph"/>
        <w:numPr>
          <w:ilvl w:val="0"/>
          <w:numId w:val="2"/>
        </w:numPr>
        <w:spacing w:after="70" w:line="258"/>
      </w:pPr>
      <w:r>
        <w:rPr>
          <w:b/>
          <w:bCs/>
        </w:rPr>
        <w:t xml:space="preserve">Ceiling then level. </w:t>
      </w:r>
      <w:r>
        <w:t xml:space="preserve">The lookup applies the genre ceiling first (authority-blind), then the source-standing level beneath it — never the reverse, and never merged.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3"/>
              <w:left w:val="single" w:color="1D3A5F" w:sz="8"/>
              <w:bottom w:val="single" w:color="D0D7DE" w:sz="3"/>
              <w:right w:val="single" w:color="D0D7DE" w:sz="3"/>
            </w:tcBorders>
            <w:shd w:fill="F6F8FA" w:val="clear"/>
            <w:tcMar>
              <w:top w:type="dxa" w:w="120"/>
              <w:left w:type="dxa" w:w="150"/>
              <w:bottom w:type="dxa" w:w="120"/>
              <w:right w:type="dxa" w:w="150"/>
            </w:tcMar>
          </w:tcPr>
          <w:p>
            <w:pPr>
              <w:spacing w:after="70"/>
            </w:pPr>
            <w:r>
              <w:rPr>
                <w:rFonts w:ascii="Consolas" w:cs="Consolas" w:eastAsia="Consolas" w:hAnsi="Consolas"/>
                <w:b/>
                <w:bCs/>
                <w:color w:val="475569"/>
                <w:sz w:val="15"/>
                <w:szCs w:val="15"/>
              </w:rPr>
              <w:t xml:space="preserve">the verdict is a governed lookup, not a weight (behavioural)</w:t>
            </w:r>
          </w:p>
          <w:p>
            <w:pPr>
              <w:spacing w:after="0" w:line="234"/>
            </w:pPr>
            <w:r>
              <w:rPr>
                <w:rFonts w:ascii="Consolas" w:cs="Consolas" w:eastAsia="Consolas" w:hAnsi="Consolas"/>
                <w:color w:val="1F2733"/>
                <w:sz w:val="16"/>
                <w:szCs w:val="16"/>
              </w:rPr>
              <w:t xml:space="preserve">verdict(claim_genre, context) -&gt; { defensibility_class, matrix_rule_ref }</w:t>
            </w:r>
          </w:p>
          <w:p>
            <w:pPr>
              <w:spacing w:after="0" w:line="234"/>
            </w:pPr>
            <w:r>
              <w:rPr>
                <w:rFonts w:ascii="Consolas" w:cs="Consolas" w:eastAsia="Consolas" w:hAnsi="Consolas"/>
                <w:color w:val="1F2733"/>
                <w:sz w:val="16"/>
                <w:szCs w:val="16"/>
              </w:rPr>
              <w:t xml:space="preserve">  # deterministic lookup over the governed table.</w:t>
            </w:r>
          </w:p>
          <w:p>
            <w:pPr>
              <w:spacing w:after="0" w:line="234"/>
            </w:pPr>
            <w:r>
              <w:rPr>
                <w:rFonts w:ascii="Consolas" w:cs="Consolas" w:eastAsia="Consolas" w:hAnsi="Consolas"/>
                <w:color w:val="1F2733"/>
                <w:sz w:val="16"/>
                <w:szCs w:val="16"/>
              </w:rPr>
              <w:t xml:space="preserve">  # ceiling = genre_ceiling[claim_genre]        (authority-blind)</w:t>
            </w:r>
          </w:p>
          <w:p>
            <w:pPr>
              <w:spacing w:after="0" w:line="234"/>
            </w:pPr>
            <w:r>
              <w:rPr>
                <w:rFonts w:ascii="Consolas" w:cs="Consolas" w:eastAsia="Consolas" w:hAnsi="Consolas"/>
                <w:color w:val="1F2733"/>
                <w:sz w:val="16"/>
                <w:szCs w:val="16"/>
              </w:rPr>
              <w:t xml:space="preserve">  # level   = lower_by_standing(ceiling, context.source_standing)</w:t>
            </w:r>
          </w:p>
          <w:p>
            <w:pPr>
              <w:spacing w:after="0" w:line="234"/>
            </w:pPr>
            <w:r>
              <w:rPr>
                <w:rFonts w:ascii="Consolas" w:cs="Consolas" w:eastAsia="Consolas" w:hAnsi="Consolas"/>
                <w:color w:val="1F2733"/>
                <w:sz w:val="16"/>
                <w:szCs w:val="16"/>
              </w:rPr>
              <w:t xml:space="preserve">  # class   = level                             (never raised by standing)</w:t>
            </w:r>
          </w:p>
          <w:p>
            <w:pPr>
              <w:spacing w:after="0" w:line="234"/>
            </w:pPr>
            <w:r>
              <w:rPr>
                <w:rFonts w:ascii="Consolas" w:cs="Consolas" w:eastAsia="Consolas" w:hAnsi="Consolas"/>
                <w:color w:val="1F2733"/>
                <w:sz w:val="16"/>
                <w:szCs w:val="16"/>
              </w:rPr>
              <w:t xml:space="preserve">  # records matrix_rule_ref -&gt; every verdict is auditable to a rule.</w:t>
            </w:r>
          </w:p>
        </w:tc>
      </w:tr>
    </w:tbl>
    <w:p>
      <w:pPr>
        <w:pStyle w:val="Heading1"/>
      </w:pPr>
      <w:r>
        <w:t xml:space="preserve">19.  The Two-Layer Measure</w:t>
      </w:r>
    </w:p>
    <w:p>
      <w:pPr>
        <w:spacing w:after="140" w:line="264"/>
      </w:pPr>
      <w:r>
        <w:t xml:space="preserve">Defensibility is measured in two layers, so it scales across a twenty-year estate without a per-item human bottleneck — the same certain-baseline-plus-gated-refinement pattern the system uses throughout. The layers are produced by Mtafiti (§24) and stamped by Layer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Layer</w:t>
            </w:r>
          </w:p>
        </w:tc>
        <w:tc>
          <w:tcPr>
            <w:tcW w:type="dxa" w:w="686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Definition and status</w:t>
            </w:r>
          </w:p>
        </w:tc>
      </w:tr>
      <w:tr>
        <w:tc>
          <w:tcPr>
            <w:tcW w:type="dxa" w:w="25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b/>
                <w:bCs/>
                <w:color w:val="16A34A"/>
              </w:rPr>
              <w:t xml:space="preserve">Declaration baseline</w:t>
            </w:r>
          </w:p>
        </w:tc>
        <w:tc>
          <w:tcPr>
            <w:tcW w:type="dxa" w:w="68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RMS declares source-standing once per feed — accountable, licensed wire, aggregator, UGC, unknown. Low cardinality, stable, deterministic, always available. The certain floor the measure rests on. Declared at the feed level, never per item.</w:t>
            </w:r>
          </w:p>
        </w:tc>
      </w:tr>
      <w:tr>
        <w:tc>
          <w:tcPr>
            <w:tcW w:type="dxa" w:w="25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b/>
                <w:bCs/>
                <w:color w:val="B45309"/>
              </w:rPr>
              <w:t xml:space="preserve">Inference overlay</w:t>
            </w:r>
          </w:p>
        </w:tc>
        <w:tc>
          <w:tcPr>
            <w:tcW w:type="dxa" w:w="68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A learned signal refining the baseline from content — attachment markers, genre-form, cross-estate corroboration. Finer but softer: a prior, not a verdict. Emits detections only; the verdict remains the governed Matrix lookup. Admitted only on a V3 pass (Part VII); until then, and on any failure, the baseline stands alone.</w:t>
            </w:r>
          </w:p>
        </w:tc>
      </w:tr>
    </w:tbl>
    <w:p>
      <w:pPr>
        <w:pBdr>
          <w:top w:val="single" w:color="1D3A5F" w:sz="4" w:space="6"/>
          <w:left w:val="single" w:color="1D3A5F" w:sz="14" w:space="8"/>
          <w:bottom w:val="single" w:color="1D3A5F" w:sz="4" w:space="6"/>
          <w:right w:val="single" w:color="1D3A5F" w:sz="4" w:space="6"/>
        </w:pBdr>
        <w:shd w:fill="EEF3F8" w:val="clear"/>
        <w:spacing w:after="140" w:before="60"/>
      </w:pPr>
      <w:r>
        <w:rPr>
          <w:b/>
          <w:bCs/>
          <w:color w:val="1D3A5F"/>
        </w:rPr>
        <w:t xml:space="preserve">Detect versus decide.  </w:t>
      </w:r>
      <w:r>
        <w:t xml:space="preserve">The learned overlay produces detections — an attachment marker is present, the genre-form is monologic, a claim recurs across the estate. It never produces a verdict. The verdict is always the governed Matrix lookup over those detections. This keeps defensibility auditable: if the learned layer assigned the class, defensibility would rest on a model weight, which is the un-auditable outcome the whole system rejects. Learning sharpens the inputs; the governed Matrix makes the decision.</w:t>
      </w:r>
    </w:p>
    <w:p>
      <w:r>
        <w:br w:type="page"/>
      </w:r>
    </w:p>
    <w:p>
      <w:pPr>
        <w:pBdr>
          <w:left w:val="single" w:color="16202B" w:sz="18" w:space="10"/>
        </w:pBdr>
        <w:shd w:fill="1D3A5F" w:val="clear"/>
        <w:spacing w:after="130" w:before="260"/>
      </w:pPr>
      <w:r>
        <w:rPr>
          <w:b/>
          <w:bCs/>
          <w:color w:val="FFFFFF"/>
          <w:sz w:val="24"/>
          <w:szCs w:val="24"/>
        </w:rPr>
        <w:t xml:space="preserve">Part V — The Governors and Engines</w:t>
      </w:r>
    </w:p>
    <w:p>
      <w:pPr>
        <w:pStyle w:val="Heading1"/>
      </w:pPr>
      <w:r>
        <w:t xml:space="preserve">20.  Three Governors, Three Orthogonal Axes</w:t>
      </w:r>
    </w:p>
    <w:p>
      <w:pPr>
        <w:spacing w:after="140" w:line="264"/>
      </w:pPr>
      <w:r>
        <w:t xml:space="preserve">Three governors bound the system on three independent axes, and are never collapsed — no governor performs another’s function. This section specifies each governor and the two engines to full behavioural and technical depth; module structure, typed contracts, and test obligations for each live in the component’s own specification, of which this is the parent.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2150"/>
        <w:gridCol w:w="5560"/>
      </w:tblGrid>
      <w:tr>
        <w:tc>
          <w:tcPr>
            <w:tcW w:type="dxa" w:w="165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Governor</w:t>
            </w:r>
          </w:p>
        </w:tc>
        <w:tc>
          <w:tcPr>
            <w:tcW w:type="dxa" w:w="215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Axis</w:t>
            </w:r>
          </w:p>
        </w:tc>
        <w:tc>
          <w:tcPr>
            <w:tcW w:type="dxa" w:w="556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Governs</w:t>
            </w:r>
          </w:p>
        </w:tc>
      </w:tr>
      <w:tr>
        <w:tc>
          <w:tcPr>
            <w:tcW w:type="dxa" w:w="16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b/>
                <w:bCs/>
              </w:rPr>
              <w:t xml:space="preserve">SyniSense</w:t>
            </w:r>
          </w:p>
        </w:tc>
        <w:tc>
          <w:tcPr>
            <w:tcW w:type="dxa" w:w="21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Boundary (in / out)</w:t>
            </w:r>
          </w:p>
        </w:tc>
        <w:tc>
          <w:tcPr>
            <w:tcW w:type="dxa" w:w="55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Whether data may cross an access point and in what transformed state.</w:t>
            </w:r>
          </w:p>
        </w:tc>
      </w:tr>
      <w:tr>
        <w:tc>
          <w:tcPr>
            <w:tcW w:type="dxa" w:w="165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b/>
                <w:bCs/>
                <w:color w:val="B45309"/>
              </w:rPr>
              <w:t xml:space="preserve">Northena</w:t>
            </w:r>
          </w:p>
        </w:tc>
        <w:tc>
          <w:tcPr>
            <w:tcW w:type="dxa" w:w="215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Direction</w:t>
            </w:r>
          </w:p>
        </w:tc>
        <w:tc>
          <w:tcPr>
            <w:tcW w:type="dxa" w:w="55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Whether a run is in scope and whether it is done.</w:t>
            </w:r>
          </w:p>
        </w:tc>
      </w:tr>
      <w:tr>
        <w:tc>
          <w:tcPr>
            <w:tcW w:type="dxa" w:w="16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b/>
                <w:bCs/>
                <w:color w:val="3730A3"/>
              </w:rPr>
              <w:t xml:space="preserve">Solva</w:t>
            </w:r>
          </w:p>
        </w:tc>
        <w:tc>
          <w:tcPr>
            <w:tcW w:type="dxa" w:w="21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Depth</w:t>
            </w:r>
          </w:p>
        </w:tc>
        <w:tc>
          <w:tcPr>
            <w:tcW w:type="dxa" w:w="55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Whether reasoning is sound, preservation sufficient, and an output asserts within its defensibility.</w:t>
            </w:r>
          </w:p>
        </w:tc>
      </w:tr>
    </w:tbl>
    <w:p>
      <w:pPr>
        <w:pStyle w:val="Heading1"/>
      </w:pPr>
      <w:r>
        <w:t xml:space="preserve">21.  SyniSense — the Boundary Governor</w:t>
      </w:r>
    </w:p>
    <w:p>
      <w:pPr>
        <w:spacing w:after="140" w:line="264"/>
      </w:pPr>
      <w:r>
        <w:t xml:space="preserve">SyniSense governs every crossing between the protected estate and anything outside it. It is two gates.</w:t>
      </w:r>
    </w:p>
    <w:p>
      <w:pPr>
        <w:pStyle w:val="Heading2"/>
      </w:pPr>
      <w:r>
        <w:t xml:space="preserve">21.1  The inner gate</w:t>
      </w:r>
    </w:p>
    <w:p>
      <w:pPr>
        <w:spacing w:after="140" w:line="264"/>
      </w:pPr>
      <w:r>
        <w:t xml:space="preserve">The inner gate governs calls to external reasoning. Before any external model call it de-identifies the payload; on return it re-identifies in-tenancy. It is fail-closed — a failure blocks the crossing rather than leaking — and every crossing is audited with a receipt. Live intelligence is served through the inner gate: the intelligence leaves in a de-identified form and the identification is restored only inside tenancy.</w:t>
      </w:r>
    </w:p>
    <w:p>
      <w:pPr>
        <w:pStyle w:val="Heading2"/>
      </w:pPr>
      <w:r>
        <w:t xml:space="preserve">21.2  The outer gate</w:t>
      </w:r>
    </w:p>
    <w:p>
      <w:pPr>
        <w:spacing w:after="140" w:line="264"/>
      </w:pPr>
      <w:r>
        <w:t xml:space="preserve">The outer gate governs file-out for external sale. It applies the irreversibility transform (pseudonymisation with a purged mint, k-anonymity / l-diversity / generalisation, optional differential-privacy noise on numerics), validates rights past extract-for-RMS (gate V2), and guards cumulative disclosure across repeated file-outs so that successive releases cannot be recombined to reconstruct identities. Only irreversibly transformed data crosses it.</w:t>
      </w:r>
    </w:p>
    <w:p>
      <w:pPr>
        <w:pBdr>
          <w:top w:val="single" w:color="1D3A5F" w:sz="4" w:space="6"/>
          <w:left w:val="single" w:color="1D3A5F" w:sz="14" w:space="8"/>
          <w:bottom w:val="single" w:color="1D3A5F" w:sz="4" w:space="6"/>
          <w:right w:val="single" w:color="1D3A5F" w:sz="4" w:space="6"/>
        </w:pBdr>
        <w:shd w:fill="EEF3F8" w:val="clear"/>
        <w:spacing w:after="140" w:before="60"/>
      </w:pPr>
      <w:r>
        <w:rPr>
          <w:b/>
          <w:bCs/>
          <w:color w:val="1D3A5F"/>
        </w:rPr>
        <w:t xml:space="preserve">De-identified is not anonymised.  </w:t>
      </w:r>
      <w:r>
        <w:t xml:space="preserve">De-identified data — as passes the inner gate — is still personal data and remains in-tenancy. Only irreversibly anonymised data — as the outer gate produces — may egress for sale. The two gates enforce two different thresholds, and the distinction is a data-protection requirement (Part VIII), not an implementation detail.</w:t>
      </w:r>
    </w:p>
    <w:p>
      <w:pPr>
        <w:pStyle w:val="Heading1"/>
      </w:pPr>
      <w:r>
        <w:t xml:space="preserve">22.  Northena — the Direction Governor</w:t>
      </w:r>
    </w:p>
    <w:p>
      <w:pPr>
        <w:spacing w:after="140" w:line="264"/>
      </w:pPr>
      <w:r>
        <w:t xml:space="preserve">Northena keeps every run on-objective, brings it to a defined stop, and writes the audit-grade record of how it was directed. It is deterministic by construction: it contains no model, no learned weight, and no adaptive behaviour. Its behaviour varies run to run only because the frozen governing artifact it reads varies — it is dynamic the way a thermostat is dynamic, never by learning. Determinism is what makes it auditable, and auditability is its purpose.</w:t>
      </w:r>
    </w:p>
    <w:p>
      <w:pPr>
        <w:pStyle w:val="Heading2"/>
      </w:pPr>
      <w:r>
        <w:t xml:space="preserve">22.1  The four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Stage</w:t>
            </w:r>
          </w:p>
        </w:tc>
        <w:tc>
          <w:tcPr>
            <w:tcW w:type="dxa" w:w="776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Behaviour</w:t>
            </w:r>
          </w:p>
        </w:tc>
      </w:tr>
      <w:tr>
        <w:tc>
          <w:tcPr>
            <w:tcW w:type="dxa" w:w="16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Admit</w:t>
            </w:r>
          </w:p>
        </w:tc>
        <w:tc>
          <w:tcPr>
            <w:tcW w:type="dxa" w:w="7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Compiles a raw intent into the governing artifact (Portfolio Mandate or Objective Request) and freezes it. Validates deterministically: lawful_basis present, artifact complete, scope resolves against the Registry, floor well-formed. Where compilation needs judgment, it invokes Solva and freezes the returned value. Once frozen, the artifact is immutable for the run.</w:t>
            </w:r>
          </w:p>
        </w:tc>
      </w:tr>
      <w:tr>
        <w:tc>
          <w:tcPr>
            <w:tcW w:type="dxa" w:w="16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Gate</w:t>
            </w:r>
          </w:p>
        </w:tc>
        <w:tc>
          <w:tcPr>
            <w:tcW w:type="dxa" w:w="77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Tests whether a (sub-)objective is within the frozen artifact’s scope — strict set-membership — and routes: warm-serve if already converged, fresh extraction if in scope and not converged, refuse (logged, not dropped) if out of scope. Ambiguous membership is an Admit-time compilation defect, never resolved by inference at Gate.</w:t>
            </w:r>
          </w:p>
        </w:tc>
      </w:tr>
      <w:tr>
        <w:tc>
          <w:tcPr>
            <w:tcW w:type="dxa" w:w="16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Converge</w:t>
            </w:r>
          </w:p>
        </w:tc>
        <w:tc>
          <w:tcPr>
            <w:tcW w:type="dxa" w:w="7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Decides termination on two conditions fixed in the artifact: done-condition met (terminate success) or budget exhausted (terminate budget); otherwise continue. Northena owns the halt — not the engine, not Solva.</w:t>
            </w:r>
          </w:p>
        </w:tc>
      </w:tr>
      <w:tr>
        <w:tc>
          <w:tcPr>
            <w:tcW w:type="dxa" w:w="16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Ledger</w:t>
            </w:r>
          </w:p>
        </w:tc>
        <w:tc>
          <w:tcPr>
            <w:tcW w:type="dxa" w:w="77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Writes the durable, audit-grade record: admission, each Gate decision and reason, every refusal, the convergence decision, and the absorbed defensibility stamp-audit. Append-only; no run closes without a closed Ledger.</w:t>
            </w:r>
          </w:p>
        </w:tc>
      </w:tr>
    </w:tbl>
    <w:p>
      <w:pPr>
        <w:pStyle w:val="Heading2"/>
      </w:pPr>
      <w:r>
        <w:t xml:space="preserve">22.2  The determinism boundary</w:t>
      </w:r>
    </w:p>
    <w:p>
      <w:pPr>
        <w:spacing w:after="140" w:line="264"/>
      </w:pPr>
      <w:r>
        <w:t xml:space="preserve">Northena performs presence and completeness checks, set-membership tests, threshold comparisons, and state transitions — all deterministic. It performs no inference. Any decision requiring judgment is Solva’s: Northena invokes Solva through an opaque handle and acts deterministically on the returned value; it never reads Solva’s reasoning and never reasons itself. The Ledger row is frozen as northena_ledger_row@v0.</w:t>
      </w:r>
    </w:p>
    <w:p>
      <w:pPr>
        <w:pStyle w:val="Heading1"/>
      </w:pPr>
      <w:r>
        <w:t xml:space="preserve">23.  Solva — the Depth Governor</w:t>
      </w:r>
    </w:p>
    <w:p>
      <w:pPr>
        <w:spacing w:after="140" w:line="264"/>
      </w:pPr>
      <w:r>
        <w:t xml:space="preserve">Solva is the one governor that reasons — and therefore the one that could do the most damage, because the system launders a claim precisely when its strongest reasoning meets a defensibility ceiling. Solva is specified as two faculties with a one-way seam between them: a reasoning faculty that is free, and an assertion boundary that is bound.</w:t>
      </w:r>
    </w:p>
    <w:p>
      <w:pPr>
        <w:pStyle w:val="Heading2"/>
      </w:pPr>
      <w:r>
        <w:t xml:space="preserve">23.1  The reasoning faculty (free)</w:t>
      </w:r>
    </w:p>
    <w:p>
      <w:pPr>
        <w:spacing w:after="140" w:line="264"/>
      </w:pPr>
      <w:r>
        <w:t xml:space="preserve">The reasoning faculty is a five-stage pipeline; each stage is a genuine judgment that no governed artifact dictates.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Stage</w:t>
            </w:r>
          </w:p>
        </w:tc>
        <w:tc>
          <w:tcPr>
            <w:tcW w:type="dxa" w:w="736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Judgment</w:t>
            </w:r>
          </w:p>
        </w:tc>
      </w:tr>
      <w:tr>
        <w:tc>
          <w:tcPr>
            <w:tcW w:type="dxa" w:w="2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Frame</w:t>
            </w:r>
          </w:p>
        </w:tc>
        <w:tc>
          <w:tcPr>
            <w:tcW w:type="dxa" w:w="7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Establishes the question and the relevant slice of the Normalized tier.</w:t>
            </w:r>
          </w:p>
        </w:tc>
      </w:tr>
      <w:tr>
        <w:tc>
          <w:tcPr>
            <w:tcW w:type="dxa" w:w="20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Candidate</w:t>
            </w:r>
          </w:p>
        </w:tc>
        <w:tc>
          <w:tcPr>
            <w:tcW w:type="dxa" w:w="73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Proposes the units and compositions that could answer it.</w:t>
            </w:r>
          </w:p>
        </w:tc>
      </w:tr>
      <w:tr>
        <w:tc>
          <w:tcPr>
            <w:tcW w:type="dxa" w:w="2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Tension</w:t>
            </w:r>
          </w:p>
        </w:tc>
        <w:tc>
          <w:tcPr>
            <w:tcW w:type="dxa" w:w="7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Surfaces contradiction, corroboration, and retraction among candidates (reads Ring 3); does not average them away.</w:t>
            </w:r>
          </w:p>
        </w:tc>
      </w:tr>
      <w:tr>
        <w:tc>
          <w:tcPr>
            <w:tcW w:type="dxa" w:w="20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Probability</w:t>
            </w:r>
          </w:p>
        </w:tc>
        <w:tc>
          <w:tcPr>
            <w:tcW w:type="dxa" w:w="73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Weighs the candidates toward the best-supported conclusion.</w:t>
            </w:r>
          </w:p>
        </w:tc>
      </w:tr>
      <w:tr>
        <w:tc>
          <w:tcPr>
            <w:tcW w:type="dxa" w:w="2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Reflection</w:t>
            </w:r>
          </w:p>
        </w:tc>
        <w:tc>
          <w:tcPr>
            <w:tcW w:type="dxa" w:w="7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Judges soundness and sufficiency, identifies the load-bearing units, and composes the conclusion.</w:t>
            </w:r>
          </w:p>
        </w:tc>
      </w:tr>
    </w:tbl>
    <w:p>
      <w:pPr>
        <w:spacing w:after="140" w:line="264"/>
      </w:pPr>
      <w:r>
        <w:t xml:space="preserve">Identifying which units are load-bearing is part of this free judgment. It is the reasoning faculty’s product and the only thing the assertion boundary consumes from it — the units, never the confidence.</w:t>
      </w:r>
    </w:p>
    <w:p>
      <w:pPr>
        <w:pStyle w:val="Heading2"/>
      </w:pPr>
      <w:r>
        <w:t xml:space="preserve">23.2  The assertion boundary (bound)</w:t>
      </w:r>
    </w:p>
    <w:p>
      <w:pPr>
        <w:spacing w:after="140" w:line="264"/>
      </w:pPr>
      <w:r>
        <w:t xml:space="preserve">The assertion boundary determines what the conclusion may be asserted as — its defensibility class — and it is mechanical, not a judgment. The class is the floor over the load-bearing units’ classes, computed without reasoning strength as an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3"/>
              <w:left w:val="single" w:color="1D3A5F" w:sz="8"/>
              <w:bottom w:val="single" w:color="D0D7DE" w:sz="3"/>
              <w:right w:val="single" w:color="D0D7DE" w:sz="3"/>
            </w:tcBorders>
            <w:shd w:fill="F6F8FA" w:val="clear"/>
            <w:tcMar>
              <w:top w:type="dxa" w:w="120"/>
              <w:left w:type="dxa" w:w="150"/>
              <w:bottom w:type="dxa" w:w="120"/>
              <w:right w:type="dxa" w:w="150"/>
            </w:tcMar>
          </w:tcPr>
          <w:p>
            <w:pPr>
              <w:spacing w:after="70"/>
            </w:pPr>
            <w:r>
              <w:rPr>
                <w:rFonts w:ascii="Consolas" w:cs="Consolas" w:eastAsia="Consolas" w:hAnsi="Consolas"/>
                <w:b/>
                <w:bCs/>
                <w:color w:val="475569"/>
                <w:sz w:val="15"/>
                <w:szCs w:val="15"/>
              </w:rPr>
              <w:t xml:space="preserve">the assertion boundary — class is a floor, deaf to reasoning strength</w:t>
            </w:r>
          </w:p>
          <w:p>
            <w:pPr>
              <w:spacing w:after="0" w:line="234"/>
            </w:pPr>
            <w:r>
              <w:rPr>
                <w:rFonts w:ascii="Consolas" w:cs="Consolas" w:eastAsia="Consolas" w:hAnsi="Consolas"/>
                <w:color w:val="1F2733"/>
                <w:sz w:val="16"/>
                <w:szCs w:val="16"/>
              </w:rPr>
              <w:t xml:space="preserve">conclusion_class(load_bearing_units) -&gt; class:</w:t>
            </w:r>
          </w:p>
          <w:p>
            <w:pPr>
              <w:spacing w:after="0" w:line="234"/>
            </w:pPr>
            <w:r>
              <w:rPr>
                <w:rFonts w:ascii="Consolas" w:cs="Consolas" w:eastAsia="Consolas" w:hAnsi="Consolas"/>
                <w:color w:val="1F2733"/>
                <w:sz w:val="16"/>
                <w:szCs w:val="16"/>
              </w:rPr>
              <w:t xml:space="preserve">    # floor over the units' governed classes.</w:t>
            </w:r>
          </w:p>
          <w:p>
            <w:pPr>
              <w:spacing w:after="0" w:line="234"/>
            </w:pPr>
            <w:r>
              <w:rPr>
                <w:rFonts w:ascii="Consolas" w:cs="Consolas" w:eastAsia="Consolas" w:hAnsi="Consolas"/>
                <w:color w:val="1F2733"/>
                <w:sz w:val="16"/>
                <w:szCs w:val="16"/>
              </w:rPr>
              <w:t xml:space="preserve">    # takes the units ONLY — no confidence, no evidence weight parameter.</w:t>
            </w:r>
          </w:p>
          <w:p>
            <w:pPr>
              <w:spacing w:after="0" w:line="234"/>
            </w:pPr>
            <w:r>
              <w:rPr>
                <w:rFonts w:ascii="Consolas" w:cs="Consolas" w:eastAsia="Consolas" w:hAnsi="Consolas"/>
                <w:color w:val="1F2733"/>
                <w:sz w:val="16"/>
                <w:szCs w:val="16"/>
              </w:rPr>
              <w:t xml:space="preserve">    return min(class of u for u in load_bearing_units)   # non_factual&lt;utterance&lt;fact</w:t>
            </w:r>
          </w:p>
          <w:p>
            <w:pPr>
              <w:spacing w:after="0" w:line="234"/>
            </w:pPr>
            <w:r>
              <w:rPr>
                <w:rFonts w:ascii="Consolas" w:cs="Consolas" w:eastAsia="Consolas" w:hAnsi="Consolas"/>
                <w:color w:val="1F2733"/>
                <w:sz w:val="16"/>
                <w:szCs w:val="16"/>
              </w:rPr>
              <w:t xml:space="preserve"> </w:t>
            </w:r>
          </w:p>
          <w:p>
            <w:pPr>
              <w:spacing w:after="0" w:line="234"/>
            </w:pPr>
            <w:r>
              <w:rPr>
                <w:rFonts w:ascii="Consolas" w:cs="Consolas" w:eastAsia="Consolas" w:hAnsi="Consolas"/>
                <w:color w:val="1F2733"/>
                <w:sz w:val="16"/>
                <w:szCs w:val="16"/>
              </w:rPr>
              <w:t xml:space="preserve"># an utterance-class conclusion is asserted as 'X was stated', never as</w:t>
            </w:r>
          </w:p>
          <w:p>
            <w:pPr>
              <w:spacing w:after="0" w:line="234"/>
            </w:pPr>
            <w:r>
              <w:rPr>
                <w:rFonts w:ascii="Consolas" w:cs="Consolas" w:eastAsia="Consolas" w:hAnsi="Consolas"/>
                <w:color w:val="1F2733"/>
                <w:sz w:val="16"/>
                <w:szCs w:val="16"/>
              </w:rPr>
              <w:t xml:space="preserve"># fact, however overwhelming the evidence Solva finds. The laundering case</w:t>
            </w:r>
          </w:p>
          <w:p>
            <w:pPr>
              <w:spacing w:after="0" w:line="234"/>
            </w:pPr>
            <w:r>
              <w:rPr>
                <w:rFonts w:ascii="Consolas" w:cs="Consolas" w:eastAsia="Consolas" w:hAnsi="Consolas"/>
                <w:color w:val="1F2733"/>
                <w:sz w:val="16"/>
                <w:szCs w:val="16"/>
              </w:rPr>
              <w:t xml:space="preserve"># is unrepresentable: the function has no parameter through which reasoning</w:t>
            </w:r>
          </w:p>
          <w:p>
            <w:pPr>
              <w:spacing w:after="0" w:line="234"/>
            </w:pPr>
            <w:r>
              <w:rPr>
                <w:rFonts w:ascii="Consolas" w:cs="Consolas" w:eastAsia="Consolas" w:hAnsi="Consolas"/>
                <w:color w:val="1F2733"/>
                <w:sz w:val="16"/>
                <w:szCs w:val="16"/>
              </w:rPr>
              <w:t xml:space="preserve"># strength could raise the class.</w:t>
            </w:r>
          </w:p>
        </w:tc>
      </w:tr>
    </w:tbl>
    <w:p>
      <w:pPr>
        <w:pBdr>
          <w:top w:val="single" w:color="1D3A5F" w:sz="4" w:space="6"/>
          <w:left w:val="single" w:color="1D3A5F" w:sz="14" w:space="8"/>
          <w:bottom w:val="single" w:color="1D3A5F" w:sz="4" w:space="6"/>
          <w:right w:val="single" w:color="1D3A5F" w:sz="4" w:space="6"/>
        </w:pBdr>
        <w:shd w:fill="EEF3F8" w:val="clear"/>
        <w:spacing w:after="140" w:before="60"/>
      </w:pPr>
      <w:r>
        <w:rPr>
          <w:b/>
          <w:bCs/>
          <w:color w:val="1D3A5F"/>
        </w:rPr>
        <w:t xml:space="preserve">Solva chooses the units; it does not choose the class.  </w:t>
      </w:r>
      <w:r>
        <w:t xml:space="preserve">The reasoning faculty decides which units are load-bearing — a genuine judgment. The assertion boundary then computes the class as the floor over those units — mechanically, with no confidence input. Solva reads the objective’s floor and the Matrix verdict read-only and refuses below the floor with a structured reason; it never sets or relaxes a governed value, and it never extracts. Every extraction-time judgment produces a trace — the reasoning path, the load-bearing units, the computed class — which is what keeps a genuine reasoner auditable.</w:t>
      </w:r>
    </w:p>
    <w:p>
      <w:pPr>
        <w:pStyle w:val="Heading1"/>
      </w:pPr>
      <w:r>
        <w:t xml:space="preserve">24.  Mtafiti — the Discovery and Measurement Engine</w:t>
      </w:r>
    </w:p>
    <w:p>
      <w:pPr>
        <w:spacing w:after="140" w:line="264"/>
      </w:pPr>
      <w:r>
        <w:t xml:space="preserve">Mtafiti censuses the estate and writes the defensibility-measured Registry. It is objective-blind: it measures the estate as it is, so one Registry serves every objective. It discovers and measures; it does not extract, target, or govern.</w:t>
      </w:r>
    </w:p>
    <w:p>
      <w:pPr>
        <w:pStyle w:val="Heading2"/>
      </w:pPr>
      <w:r>
        <w:t xml:space="preserve">24.1  The census</w:t>
      </w:r>
    </w:p>
    <w:p>
      <w:pPr>
        <w:spacing w:after="140" w:line="264"/>
      </w:pPr>
      <w:r>
        <w:t xml:space="preserve">The census walks the estate exhaustively and objective-blind, producing one candidate record per source: its reference, region, feed identity (which keys the declaration baseline), and a deterministic sensitivity classification. No objective is consulted; one census serves all.</w:t>
      </w:r>
    </w:p>
    <w:p>
      <w:pPr>
        <w:pStyle w:val="Heading2"/>
      </w:pPr>
      <w:r>
        <w:t xml:space="preserve">24.2  The measure and the detect-versus-decide boundary</w:t>
      </w:r>
    </w:p>
    <w:p>
      <w:pPr>
        <w:spacing w:after="140" w:line="264"/>
      </w:pPr>
      <w:r>
        <w:t xml:space="preserve">The measure is the two-layer model of Part IV — the deterministic declaration baseline, and the learned inference overlay (admitted only on V3). Its guard is detect-versus-decide: the inference emits detections (attachment markedness, genre-form, corroboration) and never a verdict; the defensibility class is the governed Matrix lookup over those detections, recording its rule reference. The inference module never imports the verdict logic — the boundary is a dependency rule, not a runtime check.</w:t>
      </w:r>
    </w:p>
    <w:p>
      <w:pPr>
        <w:pStyle w:val="Heading2"/>
      </w:pPr>
      <w:r>
        <w:t xml:space="preserve">24.3  The Registry and freshness</w:t>
      </w:r>
    </w:p>
    <w:p>
      <w:pPr>
        <w:spacing w:after="140" w:line="264"/>
      </w:pPr>
      <w:r>
        <w:t xml:space="preserve">Mtafiti writes one Registry record per source — existence, sensitivity, the defensibility measure, the runtime mode (baseline or overlay), and a freshness stamp. The Registry is the objective-blind substrate Targeta and Layer C read. Freshness is a deterministic two-level check (a logged date and a structural-delta signature); a detected change drives scoped re-discovery of only the affected region, re-running the measure — including a changed contested_status when a retraction appears.</w:t>
      </w:r>
    </w:p>
    <w:p>
      <w:pPr>
        <w:pStyle w:val="Heading1"/>
      </w:pPr>
      <w:r>
        <w:t xml:space="preserve">25.  Targeta — the Targeting Engine</w:t>
      </w:r>
    </w:p>
    <w:p>
      <w:pPr>
        <w:spacing w:after="140" w:line="264"/>
      </w:pPr>
      <w:r>
        <w:t xml:space="preserve">Targeta reads the defensibility-measured Registry and decides where to mine and in what order, so an objective is served as fully as possible within budget. It is two layers with a one-way relationship, and it is the one component permitted to learn — bounded so that learning can improve targeting and can never narrow what the objective may reach.</w:t>
      </w:r>
    </w:p>
    <w:p>
      <w:pPr>
        <w:pStyle w:val="Heading2"/>
      </w:pPr>
      <w:r>
        <w:t xml:space="preserve">25.1  The deterministic eligibility core</w:t>
      </w:r>
    </w:p>
    <w:p>
      <w:pPr>
        <w:spacing w:after="140" w:line="264"/>
      </w:pPr>
      <w:r>
        <w:t xml:space="preserve">The core reads the Registry and the governing artifact and produces the eligible set and a baseline ranking. It applies the objective’s defensibility floor as a hard filter (a source that cannot meet the floor is not eligible), weights the eligible set by objective relevance and Registry defensibility, and ranks by a fixed, inspectable function. It contains no model; Targeta on the core alone is a complete, correct targeter.</w:t>
      </w:r>
    </w:p>
    <w:p>
      <w:pPr>
        <w:pStyle w:val="Heading2"/>
      </w:pPr>
      <w:r>
        <w:t xml:space="preserve">25.2  The objective-conditioned yield layer</w:t>
      </w:r>
    </w:p>
    <w:p>
      <w:pPr>
        <w:spacing w:after="140" w:line="264"/>
      </w:pPr>
      <w:r>
        <w:t xml:space="preserve">The yield layer learns which sources satisfy which kinds of objective and reorders the already-eligible candidates by expected objective-yield. It is bounded by construction: it receives only the floor-passing eligible set (never the floor value, the raw measure, or the eligibility logic) and returns a permutation of that exact set. A non-permutation output — dropping or adding a source — is a type error, rejected by the interface, not a ranking to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3"/>
              <w:left w:val="single" w:color="1D3A5F" w:sz="8"/>
              <w:bottom w:val="single" w:color="D0D7DE" w:sz="3"/>
              <w:right w:val="single" w:color="D0D7DE" w:sz="3"/>
            </w:tcBorders>
            <w:shd w:fill="F6F8FA" w:val="clear"/>
            <w:tcMar>
              <w:top w:type="dxa" w:w="120"/>
              <w:left w:type="dxa" w:w="150"/>
              <w:bottom w:type="dxa" w:w="120"/>
              <w:right w:type="dxa" w:w="150"/>
            </w:tcMar>
          </w:tcPr>
          <w:p>
            <w:pPr>
              <w:spacing w:after="70"/>
            </w:pPr>
            <w:r>
              <w:rPr>
                <w:rFonts w:ascii="Consolas" w:cs="Consolas" w:eastAsia="Consolas" w:hAnsi="Consolas"/>
                <w:b/>
                <w:bCs/>
                <w:color w:val="475569"/>
                <w:sz w:val="15"/>
                <w:szCs w:val="15"/>
              </w:rPr>
              <w:t xml:space="preserve">the eligibility guard — yield may only reorder (behavioural)</w:t>
            </w:r>
          </w:p>
          <w:p>
            <w:pPr>
              <w:spacing w:after="0" w:line="234"/>
            </w:pPr>
            <w:r>
              <w:rPr>
                <w:rFonts w:ascii="Consolas" w:cs="Consolas" w:eastAsia="Consolas" w:hAnsi="Consolas"/>
                <w:color w:val="1F2733"/>
                <w:sz w:val="16"/>
                <w:szCs w:val="16"/>
              </w:rPr>
              <w:t xml:space="preserve">apply_yield(eligible, yield_fn) -&gt; ordered:</w:t>
            </w:r>
          </w:p>
          <w:p>
            <w:pPr>
              <w:spacing w:after="0" w:line="234"/>
            </w:pPr>
            <w:r>
              <w:rPr>
                <w:rFonts w:ascii="Consolas" w:cs="Consolas" w:eastAsia="Consolas" w:hAnsi="Consolas"/>
                <w:color w:val="1F2733"/>
                <w:sz w:val="16"/>
                <w:szCs w:val="16"/>
              </w:rPr>
              <w:t xml:space="preserve">    yin   = strip(eligible)          # floor + raw measure removed; source_refs + features only</w:t>
            </w:r>
          </w:p>
          <w:p>
            <w:pPr>
              <w:spacing w:after="0" w:line="234"/>
            </w:pPr>
            <w:r>
              <w:rPr>
                <w:rFonts w:ascii="Consolas" w:cs="Consolas" w:eastAsia="Consolas" w:hAnsi="Consolas"/>
                <w:color w:val="1F2733"/>
                <w:sz w:val="16"/>
                <w:szCs w:val="16"/>
              </w:rPr>
              <w:t xml:space="preserve">    order = yield_fn(yin)            # the learned reorderer</w:t>
            </w:r>
          </w:p>
          <w:p>
            <w:pPr>
              <w:spacing w:after="0" w:line="234"/>
            </w:pPr>
            <w:r>
              <w:rPr>
                <w:rFonts w:ascii="Consolas" w:cs="Consolas" w:eastAsia="Consolas" w:hAnsi="Consolas"/>
                <w:color w:val="1F2733"/>
                <w:sz w:val="16"/>
                <w:szCs w:val="16"/>
              </w:rPr>
              <w:t xml:space="preserve">    assert set(order) == set(eligible.refs)   # non-permutation -&gt; type error</w:t>
            </w:r>
          </w:p>
          <w:p>
            <w:pPr>
              <w:spacing w:after="0" w:line="234"/>
            </w:pPr>
            <w:r>
              <w:rPr>
                <w:rFonts w:ascii="Consolas" w:cs="Consolas" w:eastAsia="Consolas" w:hAnsi="Consolas"/>
                <w:color w:val="1F2733"/>
                <w:sz w:val="16"/>
                <w:szCs w:val="16"/>
              </w:rPr>
              <w:t xml:space="preserve">    return eligible reordered by order</w:t>
            </w:r>
          </w:p>
          <w:p>
            <w:pPr>
              <w:spacing w:after="0" w:line="234"/>
            </w:pPr>
            <w:r>
              <w:rPr>
                <w:rFonts w:ascii="Consolas" w:cs="Consolas" w:eastAsia="Consolas" w:hAnsi="Consolas"/>
                <w:color w:val="1F2733"/>
                <w:sz w:val="16"/>
                <w:szCs w:val="16"/>
              </w:rPr>
              <w:t xml:space="preserve"># learning improves the order; it can never change what is eligible.</w:t>
            </w:r>
          </w:p>
        </w:tc>
      </w:tr>
    </w:tbl>
    <w:p>
      <w:pPr>
        <w:pStyle w:val="Heading2"/>
      </w:pPr>
      <w:r>
        <w:t xml:space="preserve">25.3  The two-arm admission gate</w:t>
      </w:r>
    </w:p>
    <w:p>
      <w:pPr>
        <w:spacing w:after="140" w:line="264"/>
      </w:pPr>
      <w:r>
        <w:t xml:space="preserve">The yield layer is admitted only through a gate with two arms, the second a veto. Arm 1 (helps): on held-out past objectives, the yield ordering reaches objective-satisfaction in fewer mined units than the core. Arm 2 (coverage veto): across estate classes, the yield layer must not drive any eligible class below the core’s coverage for objectives it is eligible to satisfy — improving efficiency by starving a class fails the gate regardless of the efficiency number. On failure of either arm, Targeta runs on the deterministic core. The gate thresholds are owner-signed (Part VII / §30).</w:t>
      </w:r>
    </w:p>
    <w:p>
      <w:r>
        <w:br w:type="page"/>
      </w:r>
    </w:p>
    <w:p>
      <w:pPr>
        <w:pBdr>
          <w:left w:val="single" w:color="16202B" w:sz="18" w:space="10"/>
        </w:pBdr>
        <w:shd w:fill="1D3A5F" w:val="clear"/>
        <w:spacing w:after="130" w:before="260"/>
      </w:pPr>
      <w:r>
        <w:rPr>
          <w:b/>
          <w:bCs/>
          <w:color w:val="FFFFFF"/>
          <w:sz w:val="24"/>
          <w:szCs w:val="24"/>
        </w:rPr>
        <w:t xml:space="preserve">Part VI — Frozen Contracts</w:t>
      </w:r>
    </w:p>
    <w:p>
      <w:pPr>
        <w:pStyle w:val="Heading1"/>
      </w:pPr>
      <w:r>
        <w:t xml:space="preserve">26.  The Frozen Contract Set</w:t>
      </w:r>
    </w:p>
    <w:p>
      <w:pPr>
        <w:spacing w:after="140" w:line="264"/>
      </w:pPr>
      <w:r>
        <w:t xml:space="preserve">Six contracts are frozen. Each is a schema, a JSON snapshot, and an invariant test; drift fails CI. Everything downstream binds to them, and they change only by an explicit, versioned re-bless — never to accommodate a fixture, a prep sketch, or a convenience. A change that looks additive and free, such as an optional field, is still a contract mutation and is held to the same bar, because everything bound to the contract must be able to trust its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Contract</w:t>
            </w:r>
          </w:p>
        </w:tc>
        <w:tc>
          <w:tcPr>
            <w:tcW w:type="dxa" w:w="646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Governs</w:t>
            </w:r>
          </w:p>
        </w:tc>
      </w:tr>
      <w:tr>
        <w:tc>
          <w:tcPr>
            <w:tcW w:type="dxa" w:w="29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five_rings@v0</w:t>
            </w:r>
          </w:p>
        </w:tc>
        <w:tc>
          <w:tcPr>
            <w:tcW w:type="dxa" w:w="64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The unit shape — anchor plus the five rings. The core Normalized-tier contract; a unit without a complete Ring 5 is invalid.</w:t>
            </w:r>
          </w:p>
        </w:tc>
      </w:tr>
      <w:tr>
        <w:tc>
          <w:tcPr>
            <w:tcW w:type="dxa" w:w="29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objective_request@v0</w:t>
            </w:r>
          </w:p>
        </w:tc>
        <w:tc>
          <w:tcPr>
            <w:tcW w:type="dxa" w:w="64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The Service 2 request — objective, defensibility floor, provenance requirement, scope, lawful basis. What Northena.Admit freezes.</w:t>
            </w:r>
          </w:p>
        </w:tc>
      </w:tr>
      <w:tr>
        <w:tc>
          <w:tcPr>
            <w:tcW w:type="dxa" w:w="29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qualification_matrix@v0</w:t>
            </w:r>
          </w:p>
        </w:tc>
        <w:tc>
          <w:tcPr>
            <w:tcW w:type="dxa" w:w="64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The governed genre × context → verdict taxonomy. MEA-editable, versioned; every verdict records its rule reference.</w:t>
            </w:r>
          </w:p>
        </w:tc>
      </w:tr>
      <w:tr>
        <w:tc>
          <w:tcPr>
            <w:tcW w:type="dxa" w:w="29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signal_ring_dimensions@v0</w:t>
            </w:r>
          </w:p>
        </w:tc>
        <w:tc>
          <w:tcPr>
            <w:tcW w:type="dxa" w:w="64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The per-modality Signal dimension set — markedness not intent, no presence booleans, composite carries none. Versioned, extensible by re-bless.</w:t>
            </w:r>
          </w:p>
        </w:tc>
      </w:tr>
      <w:tr>
        <w:tc>
          <w:tcPr>
            <w:tcW w:type="dxa" w:w="29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extraction_params@v0</w:t>
            </w:r>
          </w:p>
        </w:tc>
        <w:tc>
          <w:tcPr>
            <w:tcW w:type="dxa" w:w="64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The reproducibility parameter set — output-determining keys mandatory-by-modality, temperature=0 for deterministic re-extraction, timestamp excluded.</w:t>
            </w:r>
          </w:p>
        </w:tc>
      </w:tr>
      <w:tr>
        <w:tc>
          <w:tcPr>
            <w:tcW w:type="dxa" w:w="29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northena_ledger_row@v0</w:t>
            </w:r>
          </w:p>
        </w:tc>
        <w:tc>
          <w:tcPr>
            <w:tcW w:type="dxa" w:w="64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The audit-grade Ledger row — append-only, the DPO / audit-lens surface, absorbs the defensibility stamp-audit from build phase G2.</w:t>
            </w:r>
          </w:p>
        </w:tc>
      </w:tr>
    </w:tbl>
    <w:p>
      <w:pPr>
        <w:pBdr>
          <w:top w:val="single" w:color="1D3A5F" w:sz="4" w:space="6"/>
          <w:left w:val="single" w:color="1D3A5F" w:sz="14" w:space="8"/>
          <w:bottom w:val="single" w:color="1D3A5F" w:sz="4" w:space="6"/>
          <w:right w:val="single" w:color="1D3A5F" w:sz="4" w:space="6"/>
        </w:pBdr>
        <w:shd w:fill="EEF3F8" w:val="clear"/>
        <w:spacing w:after="140" w:before="60"/>
      </w:pPr>
      <w:r>
        <w:rPr>
          <w:b/>
          <w:bCs/>
          <w:color w:val="1D3A5F"/>
        </w:rPr>
        <w:t xml:space="preserve">Contract-first hierarchy.  </w:t>
      </w:r>
      <w:r>
        <w:t xml:space="preserve">The frozen contracts are the source of truth. Test fixtures, prep sketches, and convenience shapes conform to the contracts — never the reverse. A fixture that disagrees with a contract is the fixture’s defect, corrected by regenerating it against the contract, not a licence to re-bless the contract. Re-blessing is reserved for genuine design change, versioned and deliberate.</w:t>
      </w:r>
    </w:p>
    <w:p>
      <w:pPr>
        <w:pBdr>
          <w:left w:val="single" w:color="16202B" w:sz="18" w:space="10"/>
        </w:pBdr>
        <w:shd w:fill="1D3A5F" w:val="clear"/>
        <w:spacing w:after="130" w:before="260"/>
      </w:pPr>
      <w:r>
        <w:rPr>
          <w:b/>
          <w:bCs/>
          <w:color w:val="FFFFFF"/>
          <w:sz w:val="24"/>
          <w:szCs w:val="24"/>
        </w:rPr>
        <w:t xml:space="preserve">Part VII — Validation Gates</w:t>
      </w:r>
    </w:p>
    <w:p>
      <w:pPr>
        <w:pStyle w:val="Heading1"/>
      </w:pPr>
      <w:r>
        <w:t xml:space="preserve">27.  Three Gates Against Reality</w:t>
      </w:r>
    </w:p>
    <w:p>
      <w:pPr>
        <w:spacing w:after="140" w:line="264"/>
      </w:pPr>
      <w:r>
        <w:t xml:space="preserve">Three gates validate the system against reality rather than against its own assumptions. Each has a certain fallback that does not depend on the gated capability, so a gate failure narrows scope rather than blocking the system. Two of the three (V1 and V3) require real RMS material and cannot pass on synthetic data: accuracy measured against author-labelled synthetic data is circular by construction — synthetic data proves the pipeline runs, never that it works.</w:t>
      </w:r>
    </w:p>
    <w:p>
      <w:pPr>
        <w:pStyle w:val="Heading1"/>
      </w:pPr>
      <w:r>
        <w:t xml:space="preserve">28.  V1 — Convergence Quality</w:t>
      </w:r>
    </w:p>
    <w:p>
      <w:pPr>
        <w:spacing w:after="140" w:line="264"/>
      </w:pPr>
      <w:r>
        <w:t xml:space="preserve">V1 gates the perception-compute commitment: does the engine produce sound Five-Rings intelligence from real broadcast material. It is run on a real broadcast hour, with the production hour held out from any hour used to tune the engine — validating on the tuning hour would confirm only what was tuned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Metric</w:t>
            </w:r>
          </w:p>
        </w:tc>
        <w:tc>
          <w:tcPr>
            <w:tcW w:type="dxa" w:w="596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Bar</w:t>
            </w:r>
          </w:p>
        </w:tc>
      </w:tr>
      <w:tr>
        <w:tc>
          <w:tcPr>
            <w:tcW w:type="dxa" w:w="34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Transcription WER (vs human gold)</w:t>
            </w:r>
          </w:p>
        </w:tc>
        <w:tc>
          <w:tcPr>
            <w:tcW w:type="dxa" w:w="59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 18% — the working bar; Kenyan-broadcast code-switching is the operating reality, not an edge case.</w:t>
            </w:r>
          </w:p>
        </w:tc>
      </w:tr>
      <w:tr>
        <w:tc>
          <w:tcPr>
            <w:tcW w:type="dxa" w:w="34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Diarization DER (speakers ≥ 30s)</w:t>
            </w:r>
          </w:p>
        </w:tc>
        <w:tc>
          <w:tcPr>
            <w:tcW w:type="dxa" w:w="59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 18%; sub-30s speakers may merge.</w:t>
            </w:r>
          </w:p>
        </w:tc>
      </w:tr>
      <w:tr>
        <w:tc>
          <w:tcPr>
            <w:tcW w:type="dxa" w:w="34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Named-entity recall</w:t>
            </w:r>
          </w:p>
        </w:tc>
        <w:tc>
          <w:tcPr>
            <w:tcW w:type="dxa" w:w="59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Measured twice: against the clean gold transcript (the gate, ≥ 85%) and against the ASR output (reported, to show how much transcription error degrades extraction).</w:t>
            </w:r>
          </w:p>
        </w:tc>
      </w:tr>
      <w:tr>
        <w:tc>
          <w:tcPr>
            <w:tcW w:type="dxa" w:w="34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Five-Rings completeness</w:t>
            </w:r>
          </w:p>
        </w:tc>
        <w:tc>
          <w:tcPr>
            <w:tcW w:type="dxa" w:w="59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 95% on Provenance / Re-extraction / Defensibility; ≥ 80% on Signal; Relational tracked, not gated.</w:t>
            </w:r>
          </w:p>
        </w:tc>
      </w:tr>
      <w:tr>
        <w:tc>
          <w:tcPr>
            <w:tcW w:type="dxa" w:w="34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Runtime</w:t>
            </w:r>
          </w:p>
        </w:tc>
        <w:tc>
          <w:tcPr>
            <w:tcW w:type="dxa" w:w="59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 4× realtime on the chosen compute.</w:t>
            </w:r>
          </w:p>
        </w:tc>
      </w:tr>
      <w:tr>
        <w:tc>
          <w:tcPr>
            <w:tcW w:type="dxa" w:w="34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Defensibility distribution</w:t>
            </w:r>
          </w:p>
        </w:tc>
        <w:tc>
          <w:tcPr>
            <w:tcW w:type="dxa" w:w="59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Reported, not gated — an opinion-dominant hour should score as such; a distribution bar would fail a correct system and pass a broken one.</w:t>
            </w:r>
          </w:p>
        </w:tc>
      </w:tr>
    </w:tbl>
    <w:p>
      <w:pPr>
        <w:spacing w:after="140" w:line="264"/>
      </w:pPr>
      <w:r>
        <w:t xml:space="preserve">On failure: halt the perception-compute commitment, change the model class or narrow modality coverage, and re-run on the same hour. Do not advance downstream on a broken engine.</w:t>
      </w:r>
    </w:p>
    <w:p>
      <w:pPr>
        <w:pStyle w:val="Heading1"/>
      </w:pPr>
      <w:r>
        <w:t xml:space="preserve">29.  V2 — Rights and Substrate; V3 — Defensibility Detection</w:t>
      </w:r>
    </w:p>
    <w:p>
      <w:pPr>
        <w:pStyle w:val="Heading2"/>
      </w:pPr>
      <w:r>
        <w:t xml:space="preserve">29.1  V2 — Rights and Substrate</w:t>
      </w:r>
    </w:p>
    <w:p>
      <w:pPr>
        <w:spacing w:after="140" w:line="264"/>
      </w:pPr>
      <w:r>
        <w:t xml:space="preserve">V2 gates the outer-gate file-out. It confirms rights past extract-for-RMS, resolves the substrate/rights contract, verifies a sample file-out cryptographically, and demonstrates the cumulative-disclosure guard refusing a reconstruction attempt. Until V2 passes, delivery is inner-gate-only — live intelligence in-tenancy — which is a complete service on its own.</w:t>
      </w:r>
    </w:p>
    <w:p>
      <w:pPr>
        <w:pStyle w:val="Heading2"/>
      </w:pPr>
      <w:r>
        <w:t xml:space="preserve">29.2  V3 — Defensibility Detection</w:t>
      </w:r>
    </w:p>
    <w:p>
      <w:pPr>
        <w:spacing w:after="140" w:line="264"/>
      </w:pPr>
      <w:r>
        <w:t xml:space="preserve">V3 gates the inference overlay of the defensibility measure. It is run on a real labelled slice: at least 300 units, at least four genres, two labellers plus an adjudicator, with inter-annotator agreement κ ≥ 0.70 computed before any model accuracy — if the labellers do not agree, no accuracy against their labels means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Metric</w:t>
            </w:r>
          </w:p>
        </w:tc>
        <w:tc>
          <w:tcPr>
            <w:tcW w:type="dxa" w:w="596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Bar</w:t>
            </w:r>
          </w:p>
        </w:tc>
      </w:tr>
      <w:tr>
        <w:tc>
          <w:tcPr>
            <w:tcW w:type="dxa" w:w="34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fact-class precision</w:t>
            </w:r>
          </w:p>
        </w:tc>
        <w:tc>
          <w:tcPr>
            <w:tcW w:type="dxa" w:w="59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 90% — the gate. A false fact is the catastrophic error; a missed fact degrades safely to utterance. Precision gates, not accuracy.</w:t>
            </w:r>
          </w:p>
        </w:tc>
      </w:tr>
      <w:tr>
        <w:tc>
          <w:tcPr>
            <w:tcW w:type="dxa" w:w="34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Genre-classification accuracy</w:t>
            </w:r>
          </w:p>
        </w:tc>
        <w:tc>
          <w:tcPr>
            <w:tcW w:type="dxa" w:w="59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 80% (top-1).</w:t>
            </w:r>
          </w:p>
        </w:tc>
      </w:tr>
      <w:tr>
        <w:tc>
          <w:tcPr>
            <w:tcW w:type="dxa" w:w="34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utterance-vs-fact disambiguation</w:t>
            </w:r>
          </w:p>
        </w:tc>
        <w:tc>
          <w:tcPr>
            <w:tcW w:type="dxa" w:w="59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 85%.</w:t>
            </w:r>
          </w:p>
        </w:tc>
      </w:tr>
      <w:tr>
        <w:tc>
          <w:tcPr>
            <w:tcW w:type="dxa" w:w="34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non_factual precision</w:t>
            </w:r>
          </w:p>
        </w:tc>
        <w:tc>
          <w:tcPr>
            <w:tcW w:type="dxa" w:w="59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 95%.</w:t>
            </w:r>
          </w:p>
        </w:tc>
      </w:tr>
    </w:tbl>
    <w:p>
      <w:pPr>
        <w:spacing w:after="140" w:line="264"/>
      </w:pPr>
      <w:r>
        <w:t xml:space="preserve">On failure: keep the declaration baseline live, do not admit the inference overlay, surface the state, and re-attempt when more labelled data and a better detector are both ready. The baseline is a complete measure on its own.</w:t>
      </w:r>
    </w:p>
    <w:p>
      <w:r>
        <w:br w:type="page"/>
      </w:r>
    </w:p>
    <w:p>
      <w:pPr>
        <w:pBdr>
          <w:left w:val="single" w:color="16202B" w:sz="18" w:space="10"/>
        </w:pBdr>
        <w:shd w:fill="1D3A5F" w:val="clear"/>
        <w:spacing w:after="130" w:before="260"/>
      </w:pPr>
      <w:r>
        <w:rPr>
          <w:b/>
          <w:bCs/>
          <w:color w:val="FFFFFF"/>
          <w:sz w:val="24"/>
          <w:szCs w:val="24"/>
        </w:rPr>
        <w:t xml:space="preserve">Part VIII — Data Protection, Invariants, Open Governance</w:t>
      </w:r>
    </w:p>
    <w:p>
      <w:pPr>
        <w:pStyle w:val="Heading1"/>
      </w:pPr>
      <w:r>
        <w:t xml:space="preserve">30.  Data Protection (Kenya DPA, 2019)</w:t>
      </w:r>
    </w:p>
    <w:p>
      <w:pPr>
        <w:spacing w:after="140" w:line="264"/>
      </w:pPr>
      <w:r>
        <w:t xml:space="preserve">The system is designed to the Kenya Data Protection Act, 2019. The following are design constraints, not a legal opinion.</w:t>
      </w:r>
    </w:p>
    <w:p>
      <w:pPr>
        <w:pStyle w:val="ListParagraph"/>
        <w:numPr>
          <w:ilvl w:val="0"/>
          <w:numId w:val="2"/>
        </w:numPr>
        <w:spacing w:after="70" w:line="258"/>
      </w:pPr>
      <w:r>
        <w:rPr>
          <w:b/>
          <w:bCs/>
        </w:rPr>
        <w:t xml:space="preserve">De-identified is still personal data. </w:t>
      </w:r>
      <w:r>
        <w:t xml:space="preserve">It stays in-tenancy; only irreversibly anonymised data may egress via the outer gate.</w:t>
      </w:r>
    </w:p>
    <w:p>
      <w:pPr>
        <w:pStyle w:val="ListParagraph"/>
        <w:numPr>
          <w:ilvl w:val="0"/>
          <w:numId w:val="2"/>
        </w:numPr>
        <w:spacing w:after="70" w:line="258"/>
      </w:pPr>
      <w:r>
        <w:rPr>
          <w:b/>
          <w:bCs/>
        </w:rPr>
        <w:t xml:space="preserve">Purpose limitation at admission. </w:t>
      </w:r>
      <w:r>
        <w:t xml:space="preserve">Northena enforces a valid lawful_basis at Admit; no run proceeds without one, and purpose limitation is enforced before any extraction.</w:t>
      </w:r>
    </w:p>
    <w:p>
      <w:pPr>
        <w:pStyle w:val="ListParagraph"/>
        <w:numPr>
          <w:ilvl w:val="0"/>
          <w:numId w:val="2"/>
        </w:numPr>
        <w:spacing w:after="70" w:line="258"/>
      </w:pPr>
      <w:r>
        <w:rPr>
          <w:b/>
          <w:bCs/>
        </w:rPr>
        <w:t xml:space="preserve">Controller and processor. </w:t>
      </w:r>
      <w:r>
        <w:t xml:space="preserve">RMS is the controller; Syni is the processor. Registration, a DPIA, and breach-notification timelines apply.</w:t>
      </w:r>
    </w:p>
    <w:p>
      <w:pPr>
        <w:pStyle w:val="ListParagraph"/>
        <w:numPr>
          <w:ilvl w:val="0"/>
          <w:numId w:val="2"/>
        </w:numPr>
        <w:spacing w:after="70" w:line="258"/>
      </w:pPr>
      <w:r>
        <w:rPr>
          <w:b/>
          <w:bCs/>
        </w:rPr>
        <w:t xml:space="preserve">Data-subject rights and retention. </w:t>
      </w:r>
      <w:r>
        <w:t xml:space="preserve">The Northena Ledger retention duration and end-of-window rule are a DPO determination; until confirmed, the build defaults to append-only immutability with configurable, indefinite retention (§32).</w:t>
      </w:r>
    </w:p>
    <w:p>
      <w:pPr>
        <w:pStyle w:val="Heading1"/>
      </w:pPr>
      <w:r>
        <w:t xml:space="preserve">31.  System Invariants</w:t>
      </w:r>
    </w:p>
    <w:p>
      <w:pPr>
        <w:spacing w:after="140" w:line="264"/>
      </w:pPr>
      <w:r>
        <w:t xml:space="preserve">Binding across the whole system. Any implementation that violates one is incorrect regardless of behaviour.</w:t>
      </w:r>
    </w:p>
    <w:p>
      <w:pPr>
        <w:pStyle w:val="ListParagraph"/>
        <w:numPr>
          <w:ilvl w:val="0"/>
          <w:numId w:val="3"/>
        </w:numPr>
        <w:spacing w:after="70" w:line="258"/>
      </w:pPr>
      <w:r>
        <w:t xml:space="preserve">Every unit of intelligence carries a complete Ring 5 defensibility stamp; a unit without one is invalid and cannot enter the Normalized tier.</w:t>
      </w:r>
    </w:p>
    <w:p>
      <w:pPr>
        <w:pStyle w:val="ListParagraph"/>
        <w:numPr>
          <w:ilvl w:val="0"/>
          <w:numId w:val="3"/>
        </w:numPr>
        <w:spacing w:after="70" w:line="258"/>
      </w:pPr>
      <w:r>
        <w:t xml:space="preserve">Defensibility is set by two axes never collapsed: claim-genre sets the ceiling (authority-blind); source-standing sets the level and can only lower, never raise.</w:t>
      </w:r>
    </w:p>
    <w:p>
      <w:pPr>
        <w:pStyle w:val="ListParagraph"/>
        <w:numPr>
          <w:ilvl w:val="0"/>
          <w:numId w:val="3"/>
        </w:numPr>
        <w:spacing w:after="70" w:line="258"/>
      </w:pPr>
      <w:r>
        <w:t xml:space="preserve">The defensibility verdict is a governed Qualification Matrix lookup recording its rule reference — never a learned model weight.</w:t>
      </w:r>
    </w:p>
    <w:p>
      <w:pPr>
        <w:pStyle w:val="ListParagraph"/>
        <w:numPr>
          <w:ilvl w:val="0"/>
          <w:numId w:val="3"/>
        </w:numPr>
        <w:spacing w:after="70" w:line="258"/>
      </w:pPr>
      <w:r>
        <w:t xml:space="preserve">In each engine, the powerful part is walled by construction from the governed decision it must not touch: Northena’s dynamism from auditability, Targeta’s learning from eligibility, Mtafiti’s inference from the verdict, Solva’s reasoning from the assertion ceiling. The violation is unrepresentable, not merely disallowed.</w:t>
      </w:r>
    </w:p>
    <w:p>
      <w:pPr>
        <w:pStyle w:val="ListParagraph"/>
        <w:numPr>
          <w:ilvl w:val="0"/>
          <w:numId w:val="3"/>
        </w:numPr>
        <w:spacing w:after="70" w:line="258"/>
      </w:pPr>
      <w:r>
        <w:t xml:space="preserve">The three governors operate on orthogonal axes and are never collapsed; no governor performs another’s function.</w:t>
      </w:r>
    </w:p>
    <w:p>
      <w:pPr>
        <w:pStyle w:val="ListParagraph"/>
        <w:numPr>
          <w:ilvl w:val="0"/>
          <w:numId w:val="3"/>
        </w:numPr>
        <w:spacing w:after="70" w:line="258"/>
      </w:pPr>
      <w:r>
        <w:t xml:space="preserve">The six frozen contracts are the source of truth. Fixtures and convenience shapes conform to them; a contract changes only by explicit versioned re-bless.</w:t>
      </w:r>
    </w:p>
    <w:p>
      <w:pPr>
        <w:pStyle w:val="ListParagraph"/>
        <w:numPr>
          <w:ilvl w:val="0"/>
          <w:numId w:val="3"/>
        </w:numPr>
        <w:spacing w:after="70" w:line="258"/>
      </w:pPr>
      <w:r>
        <w:t xml:space="preserve">The unit (output) and its audit (trace) are separate envelopes with separate lifecycles; the Defensibility ring stays byte-identical while the audit trace evolves.</w:t>
      </w:r>
    </w:p>
    <w:p>
      <w:pPr>
        <w:pStyle w:val="ListParagraph"/>
        <w:numPr>
          <w:ilvl w:val="0"/>
          <w:numId w:val="3"/>
        </w:numPr>
        <w:spacing w:after="70" w:line="258"/>
      </w:pPr>
      <w:r>
        <w:t xml:space="preserve">All Layer B perception runs in-tenancy; external reasoning is reached only through the inner gate after de-identification; only irreversibly transformed data crosses the outer gate.</w:t>
      </w:r>
    </w:p>
    <w:p>
      <w:pPr>
        <w:pStyle w:val="ListParagraph"/>
        <w:numPr>
          <w:ilvl w:val="0"/>
          <w:numId w:val="3"/>
        </w:numPr>
        <w:spacing w:after="70" w:line="258"/>
      </w:pPr>
      <w:r>
        <w:t xml:space="preserve">Signals measure markedness, not intent; a boolean fact is Provenance or a Relational edge, never a Signal dimension.</w:t>
      </w:r>
    </w:p>
    <w:p>
      <w:pPr>
        <w:pStyle w:val="ListParagraph"/>
        <w:numPr>
          <w:ilvl w:val="0"/>
          <w:numId w:val="3"/>
        </w:numPr>
        <w:spacing w:after="70" w:line="258"/>
      </w:pPr>
      <w:r>
        <w:t xml:space="preserve">Reproducible re-extraction is deterministic (temperature = 0); the reproducibility set contains only output-determining parameters, and excludes the extraction timestamp.</w:t>
      </w:r>
    </w:p>
    <w:p>
      <w:pPr>
        <w:pStyle w:val="ListParagraph"/>
        <w:numPr>
          <w:ilvl w:val="0"/>
          <w:numId w:val="3"/>
        </w:numPr>
        <w:spacing w:after="70" w:line="258"/>
      </w:pPr>
      <w:r>
        <w:t xml:space="preserve">Northena is deterministic — no model, no learning; any decision requiring inference is Solva’s, invoked through an opaque handle and acted on deterministically.</w:t>
      </w:r>
    </w:p>
    <w:p>
      <w:pPr>
        <w:pStyle w:val="ListParagraph"/>
        <w:numPr>
          <w:ilvl w:val="0"/>
          <w:numId w:val="3"/>
        </w:numPr>
        <w:spacing w:after="70" w:line="258"/>
      </w:pPr>
      <w:r>
        <w:t xml:space="preserve">No run proceeds without a valid lawful basis admitted by Northena; no run closes without a closed, audit-grade Ledger.</w:t>
      </w:r>
    </w:p>
    <w:p>
      <w:pPr>
        <w:pStyle w:val="ListParagraph"/>
        <w:numPr>
          <w:ilvl w:val="0"/>
          <w:numId w:val="3"/>
        </w:numPr>
        <w:spacing w:after="70" w:line="258"/>
      </w:pPr>
      <w:r>
        <w:t xml:space="preserve">V1 and V3 pass only on real RMS material; accuracy against author-labelled synthetic data is circular and never constitutes a pass.</w:t>
      </w:r>
    </w:p>
    <w:p>
      <w:pPr>
        <w:pStyle w:val="ListParagraph"/>
        <w:numPr>
          <w:ilvl w:val="0"/>
          <w:numId w:val="3"/>
        </w:numPr>
        <w:spacing w:after="70" w:line="258"/>
      </w:pPr>
      <w:r>
        <w:t xml:space="preserve">Each gate has a certain fallback that does not depend on the gated capability, so a gate failure narrows scope rather than blocking the system.</w:t>
      </w:r>
    </w:p>
    <w:p>
      <w:pPr>
        <w:pStyle w:val="Heading1"/>
      </w:pPr>
      <w:r>
        <w:t xml:space="preserve">32.  Open Governance Decisions</w:t>
      </w:r>
    </w:p>
    <w:p>
      <w:pPr>
        <w:spacing w:after="140" w:line="264"/>
      </w:pPr>
      <w:r>
        <w:t xml:space="preserve">Decisions owned outside the build, each with a certain default so none blocks construction of the parts that do not depend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4260"/>
      </w:tblGrid>
      <w:tr>
        <w:tc>
          <w:tcPr>
            <w:tcW w:type="dxa" w:w="300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Decision</w:t>
            </w:r>
          </w:p>
        </w:tc>
        <w:tc>
          <w:tcPr>
            <w:tcW w:type="dxa" w:w="210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Owner</w:t>
            </w:r>
          </w:p>
        </w:tc>
        <w:tc>
          <w:tcPr>
            <w:tcW w:type="dxa" w:w="4260"/>
            <w:tcBorders>
              <w:top w:val="single" w:color="C9D2DC" w:sz="1"/>
              <w:left w:val="single" w:color="C9D2DC" w:sz="1"/>
              <w:bottom w:val="single" w:color="C9D2DC" w:sz="1"/>
              <w:right w:val="single" w:color="C9D2DC" w:sz="1"/>
            </w:tcBorders>
            <w:shd w:fill="1D3A5F" w:val="clear"/>
            <w:tcMar>
              <w:top w:type="dxa" w:w="60"/>
              <w:left w:type="dxa" w:w="110"/>
              <w:bottom w:type="dxa" w:w="60"/>
              <w:right w:type="dxa" w:w="110"/>
            </w:tcMar>
            <w:vAlign w:val="center"/>
          </w:tcPr>
          <w:p>
            <w:pPr>
              <w:spacing w:after="0" w:line="248"/>
            </w:pPr>
            <w:r>
              <w:rPr>
                <w:b/>
                <w:bCs/>
                <w:color w:val="FFFFFF"/>
                <w:sz w:val="18"/>
                <w:szCs w:val="18"/>
              </w:rPr>
              <w:t xml:space="preserve">Default / status</w:t>
            </w:r>
          </w:p>
        </w:tc>
      </w:tr>
      <w:tr>
        <w:tc>
          <w:tcPr>
            <w:tcW w:type="dxa" w:w="3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Northena Ledger retention duration + end-of-window rule</w:t>
            </w:r>
          </w:p>
        </w:tc>
        <w:tc>
          <w:tcPr>
            <w:tcW w:type="dxa" w:w="21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DPO</w:t>
            </w:r>
          </w:p>
        </w:tc>
        <w:tc>
          <w:tcPr>
            <w:tcW w:type="dxa" w:w="42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Append-only immutability, configurable retention. Not a build blocker.</w:t>
            </w:r>
          </w:p>
        </w:tc>
      </w:tr>
      <w:tr>
        <w:tc>
          <w:tcPr>
            <w:tcW w:type="dxa" w:w="30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Targeta yield-gate thresholds</w:t>
            </w:r>
          </w:p>
        </w:tc>
        <w:tc>
          <w:tcPr>
            <w:tcW w:type="dxa" w:w="21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Project owner</w:t>
            </w:r>
          </w:p>
        </w:tc>
        <w:tc>
          <w:tcPr>
            <w:tcW w:type="dxa" w:w="42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Gates the yield layer only; the deterministic core ships without them.</w:t>
            </w:r>
          </w:p>
        </w:tc>
      </w:tr>
      <w:tr>
        <w:tc>
          <w:tcPr>
            <w:tcW w:type="dxa" w:w="3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Mtafiti V3 thresholds (shared with the V3 gate)</w:t>
            </w:r>
          </w:p>
        </w:tc>
        <w:tc>
          <w:tcPr>
            <w:tcW w:type="dxa" w:w="21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Project owner</w:t>
            </w:r>
          </w:p>
        </w:tc>
        <w:tc>
          <w:tcPr>
            <w:tcW w:type="dxa" w:w="42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Gates the inference overlay only; the census and baseline ship without them.</w:t>
            </w:r>
          </w:p>
        </w:tc>
      </w:tr>
      <w:tr>
        <w:tc>
          <w:tcPr>
            <w:tcW w:type="dxa" w:w="30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MEA source-standing declaration table + Qualification Matrix content</w:t>
            </w:r>
          </w:p>
        </w:tc>
        <w:tc>
          <w:tcPr>
            <w:tcW w:type="dxa" w:w="21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MEA</w:t>
            </w:r>
          </w:p>
        </w:tc>
        <w:tc>
          <w:tcPr>
            <w:tcW w:type="dxa" w:w="42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spacing w:after="0" w:line="248"/>
            </w:pPr>
            <w:r>
              <w:rPr>
                <w:sz w:val="18"/>
                <w:szCs w:val="18"/>
              </w:rPr>
              <w:t xml:space="preserve">Populates the baseline and the Matrix; the mechanism ships, the content is MEA-authored.</w:t>
            </w:r>
          </w:p>
        </w:tc>
      </w:tr>
    </w:tbl>
    <w:p>
      <w:pPr>
        <w:spacing w:after="60"/>
      </w:pPr>
      <w:r>
        <w:t xml:space="preserve"/>
      </w:r>
    </w:p>
    <w:p>
      <w:pPr>
        <w:pBdr>
          <w:top w:val="single" w:color="1D3A5F" w:sz="4" w:space="6"/>
          <w:left w:val="single" w:color="1D3A5F" w:sz="14" w:space="8"/>
          <w:bottom w:val="single" w:color="1D3A5F" w:sz="4" w:space="6"/>
          <w:right w:val="single" w:color="1D3A5F" w:sz="4" w:space="6"/>
        </w:pBdr>
        <w:shd w:fill="EEF3F8" w:val="clear"/>
        <w:spacing w:after="140" w:before="60"/>
      </w:pPr>
      <w:r>
        <w:rPr>
          <w:b/>
          <w:bCs/>
          <w:color w:val="1D3A5F"/>
        </w:rPr>
        <w:t xml:space="preserve">Status.  </w:t>
      </w:r>
      <w:r>
        <w:t xml:space="preserve">This is the canonical parent specification. It states the system to full technical and behavioural depth and prevails over any engine specification on conflict. The four engine specifications carry each component’s module structure, typed contracts, and test obligations, consistent with this document. Where a build meets a case this document does not resolve, it attempts a defensible reading consistent with the invariants (§31), records it, and surfaces it; it does not freeze an unconfirmed rule.</w:t>
      </w:r>
    </w:p>
    <w:sectPr>
      <w:headerReference w:type="default" r:id="rId7"/>
      <w:footerReference w:type="default" r:id="rId8"/>
      <w:pgSz w:w="12240" w:h="15840" w:orient="portrait"/>
      <w:pgMar w:top="132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EEA" w:sz="4" w:space="6"/>
      </w:pBdr>
      <w:jc w:val="center"/>
    </w:pPr>
    <w:r>
      <w:rPr>
        <w:color w:val="9AA3AE"/>
        <w:sz w:val="15"/>
        <w:szCs w:val="15"/>
      </w:rPr>
      <w:t xml:space="preserve">Syni.ai  ·  Master Specification  ·  v2.1  ·  July 2026          Page </w:t>
    </w:r>
    <w:r>
      <w:rPr>
        <w:color w:val="9AA3A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EEA" w:sz="4" w:space="6"/>
      </w:pBdr>
      <w:tabs>
        <w:tab w:val="right" w:pos="9360"/>
      </w:tabs>
      <w:spacing w:after="0"/>
    </w:pPr>
    <w:r>
      <w:rPr>
        <w:b/>
        <w:bCs/>
        <w:color w:val="475569"/>
        <w:sz w:val="16"/>
        <w:szCs w:val="16"/>
      </w:rPr>
      <w:t xml:space="preserve">RMS Intelligence System</w:t>
    </w:r>
    <w:r>
      <w:rPr>
        <w:color w:val="475569"/>
        <w:sz w:val="16"/>
        <w:szCs w:val="16"/>
      </w:rPr>
      <w:t xml:space="preserve">  ·  Product &amp; Engineering Specification v2.1</w:t>
    </w:r>
    <w:r>
      <w:rPr>
        <w:color w:val="47556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INV-%1."/>
      <w:lvlJc w:val="left"/>
      <w:pPr>
        <w:ind w:left="840" w:hanging="680"/>
      </w:pPr>
    </w:lvl>
  </w:abstractNum>
  <w:abstractNum w:abstractNumId="4"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7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10" w:before="300"/>
      <w:outlineLvl w:val="0"/>
    </w:pPr>
    <w:rPr>
      <w:rFonts w:ascii="Arial" w:cs="Arial" w:eastAsia="Arial" w:hAnsi="Arial"/>
      <w:b/>
      <w:bCs/>
      <w:color w:val="1D3A5F"/>
      <w:sz w:val="25"/>
      <w:szCs w:val="25"/>
    </w:rPr>
  </w:style>
  <w:style w:type="paragraph" w:styleId="Heading2">
    <w:name w:val="Heading 2"/>
    <w:basedOn w:val="Normal"/>
    <w:next w:val="Normal"/>
    <w:qFormat/>
    <w:pPr>
      <w:keepNext/>
      <w:spacing w:after="80" w:before="200"/>
      <w:outlineLvl w:val="1"/>
    </w:pPr>
    <w:rPr>
      <w:rFonts w:ascii="Arial" w:cs="Arial" w:eastAsia="Arial" w:hAnsi="Arial"/>
      <w:b/>
      <w:bCs/>
      <w:color w:val="16202B"/>
      <w:sz w:val="21"/>
      <w:szCs w:val="21"/>
    </w:rPr>
  </w:style>
  <w:style w:type="paragraph" w:styleId="Heading3">
    <w:name w:val="Heading 3"/>
    <w:basedOn w:val="Normal"/>
    <w:next w:val="Normal"/>
    <w:qFormat/>
    <w:pPr>
      <w:keepNext/>
      <w:spacing w:after="60" w:before="140"/>
      <w:outlineLvl w:val="2"/>
    </w:pPr>
    <w:rPr>
      <w:rFonts w:ascii="Arial" w:cs="Arial" w:eastAsia="Arial" w:hAnsi="Arial"/>
      <w:b/>
      <w:bCs/>
      <w:color w:val="475569"/>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RMS Intelligence System — Product &amp; Engineering Specification v2.1</dc:title>
  <dc:creator>Syni.ai</dc:creator>
  <cp:lastModifiedBy>Un-named</cp:lastModifiedBy>
  <cp:revision>1</cp:revision>
  <dcterms:created xsi:type="dcterms:W3CDTF">2026-07-01T13:57:51.586Z</dcterms:created>
  <dcterms:modified xsi:type="dcterms:W3CDTF">2026-07-01T13:57:51.600Z</dcterms:modified>
</cp:coreProperties>
</file>

<file path=docProps/custom.xml><?xml version="1.0" encoding="utf-8"?>
<Properties xmlns="http://schemas.openxmlformats.org/officeDocument/2006/custom-properties" xmlns:vt="http://schemas.openxmlformats.org/officeDocument/2006/docPropsVTypes"/>
</file>