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50"/>
      </w:pPr>
      <w:r>
        <w:rPr>
          <w:b/>
          <w:bCs/>
          <w:color w:val="1A2330"/>
          <w:sz w:val="40"/>
          <w:szCs w:val="40"/>
        </w:rPr>
        <w:t xml:space="preserve">RMS Intelligence System</w:t>
      </w:r>
    </w:p>
    <w:p>
      <w:pPr>
        <w:pBdr>
          <w:bottom w:val="single" w:color="9F1239" w:sz="14" w:space="6"/>
        </w:pBdr>
        <w:spacing w:after="40"/>
      </w:pPr>
      <w:r>
        <w:rPr>
          <w:color w:val="9F1239"/>
          <w:sz w:val="27"/>
          <w:szCs w:val="27"/>
        </w:rPr>
        <w:t xml:space="preserve">UX Architecture Specification</w:t>
      </w:r>
    </w:p>
    <w:p>
      <w:pPr>
        <w:spacing w:after="30" w:before="200"/>
      </w:pPr>
      <w:r>
        <w:rPr>
          <w:color w:val="475569"/>
          <w:sz w:val="20"/>
          <w:szCs w:val="20"/>
        </w:rPr>
        <w:t xml:space="preserve">The experience architecture: who the system serves, what each is promised, the surfaces that deliver those promises, and the trust model that carries the governance into the experience — the three trace lenses, the visible defensibility class, and the explained refusal. It specifies how the system is experienced; the concrete interface is specified in the companion Interface Specification.</w:t>
      </w:r>
    </w:p>
    <w:p>
      <w:pPr>
        <w:spacing w:after="30"/>
      </w:pPr>
      <w:r>
        <w:rPr>
          <w:color w:val="475569"/>
          <w:sz w:val="19"/>
          <w:szCs w:val="19"/>
        </w:rPr>
        <w:t xml:space="preserve">Version 1.0  ·  consistent with the Product &amp; Engineering Specification v2.1, which prevails on conflict.</w:t>
      </w:r>
    </w:p>
    <w:p>
      <w:pPr>
        <w:spacing w:after="480"/>
      </w:pPr>
      <w:r>
        <w:rPr>
          <w:i/>
          <w:iCs/>
          <w:color w:val="6B7280"/>
          <w:sz w:val="18"/>
          <w:szCs w:val="18"/>
        </w:rPr>
        <w:t xml:space="preserve">Prepared by Syni.ai for Royal Media Services  ·  July 2026  ·  Confidential</w:t>
      </w:r>
    </w:p>
    <w:p>
      <w:pPr>
        <w:spacing w:after="140" w:line="264"/>
      </w:pPr>
      <w:r>
        <w:rPr>
          <w:sz w:val="20"/>
          <w:szCs w:val="20"/>
        </w:rPr>
        <w:t xml:space="preserve">This document is binding at the level of experience architecture. It states what the experience must deliver and why, the surfaces that serve each user, the trust model that makes the system’s governance felt rather than operated, and the trace model that lets any answer be inspected to the depth a user reaches for. It is a forward specification: it defines what must be true of any correct experience, and does not assume one has been built. The concrete interface — layouts, flows, components — is the companion Interface Specification; this document is its parent on experience matters.</w:t>
      </w:r>
    </w:p>
    <w:p>
      <w:r>
        <w:br w:type="page"/>
      </w:r>
    </w:p>
    <w:p>
      <w:pPr>
        <w:spacing w:after="120"/>
      </w:pPr>
      <w:r>
        <w:rPr>
          <w:b/>
          <w:bCs/>
          <w:color w:val="1A2330"/>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1A2330" w:sz="18" w:space="10"/>
        </w:pBdr>
        <w:shd w:fill="9F1239" w:val="clear"/>
        <w:spacing w:after="130" w:before="260"/>
      </w:pPr>
      <w:r>
        <w:rPr>
          <w:b/>
          <w:bCs/>
          <w:color w:val="FFFFFF"/>
          <w:sz w:val="24"/>
          <w:szCs w:val="24"/>
        </w:rPr>
        <w:t xml:space="preserve">Part I — The Experience Model</w:t>
      </w:r>
    </w:p>
    <w:p>
      <w:pPr>
        <w:pStyle w:val="Heading1"/>
      </w:pPr>
      <w:r>
        <w:t xml:space="preserve">1.  What the Experience Must Deliver</w:t>
      </w:r>
    </w:p>
    <w:p>
      <w:pPr>
        <w:spacing w:after="140" w:line="264"/>
      </w:pPr>
      <w:r>
        <w:t xml:space="preserve">The system produces governed intelligence — claims that are honest about how defensibly they may be asserted. The experience has a harder job than showing that intelligence: it must make the intelligence usable by people who are not analysts, and it must make the governance felt as trust rather than presented as machinery. An interface that mirrors the architecture — a screen per lens, a control per governor — would be faithful and unusable. The experience is designed from the user’s promise inward, and the architecture is drawn in only where it makes the promise more trustworthy or the path shorter.</w:t>
      </w:r>
    </w:p>
    <w:p>
      <w:pPr>
        <w:pBdr>
          <w:top w:val="single" w:color="9F1239" w:sz="4" w:space="6"/>
          <w:left w:val="single" w:color="9F1239" w:sz="14" w:space="8"/>
          <w:bottom w:val="single" w:color="9F1239" w:sz="4" w:space="6"/>
          <w:right w:val="single" w:color="9F1239" w:sz="4" w:space="6"/>
        </w:pBdr>
        <w:shd w:fill="FDF2F5" w:val="clear"/>
        <w:spacing w:after="140" w:before="60"/>
      </w:pPr>
      <w:r>
        <w:rPr>
          <w:b/>
          <w:bCs/>
          <w:color w:val="9F1239"/>
        </w:rPr>
        <w:t xml:space="preserve">The governing rule of the experience.  </w:t>
      </w:r>
      <w:r>
        <w:t xml:space="preserve">Governance is felt, not operated. The defensibility apparatus — the class, the floor, the provenance, the trace — is present in every answer, but it surfaces as trust the user can reach for, not as controls the user must work. The default experience delivers the promise without making anyone think about lenses, classes, or governors; the depth is there the moment a user doubts an answer, and invisible until then.</w:t>
      </w:r>
    </w:p>
    <w:p>
      <w:pPr>
        <w:pStyle w:val="Heading1"/>
      </w:pPr>
      <w:r>
        <w:t xml:space="preserve">2.  The Users and Their Promises</w:t>
      </w:r>
    </w:p>
    <w:p>
      <w:pPr>
        <w:spacing w:after="140" w:line="264"/>
      </w:pPr>
      <w:r>
        <w:t xml:space="preserve">The system serves six distinct users. Each is a first-class user with a promise — including the internal roles, whose promises are as demanding as any external one. The experience is anchored to these promises; a surface with no promise behind it has nothing to design toward.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c>
          <w:tcPr>
            <w:tcW w:type="dxa" w:w="235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User</w:t>
            </w:r>
          </w:p>
        </w:tc>
        <w:tc>
          <w:tcPr>
            <w:tcW w:type="dxa" w:w="701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Promise</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RMS decision-maker</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Ask what you need to know; get an answer you can act on and defend, without becoming an analyst.</w:t>
            </w:r>
          </w:p>
        </w:tc>
      </w:tr>
      <w:tr>
        <w:tc>
          <w:tcPr>
            <w:tcW w:type="dxa" w:w="235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b/>
                <w:bCs/>
              </w:rPr>
              <w:t xml:space="preserve">External buyer</w:t>
            </w:r>
          </w:p>
        </w:tc>
        <w:tc>
          <w:tcPr>
            <w:tcW w:type="dxa" w:w="701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Buy intelligence you can rely on and use, that is honest about its own limits.</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DPO / compliance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Show, on demand, that any run was lawful and accountable.</w:t>
            </w:r>
          </w:p>
        </w:tc>
      </w:tr>
      <w:tr>
        <w:tc>
          <w:tcPr>
            <w:tcW w:type="dxa" w:w="235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b/>
                <w:bCs/>
              </w:rPr>
              <w:t xml:space="preserve">Operator</w:t>
            </w:r>
          </w:p>
        </w:tc>
        <w:tc>
          <w:tcPr>
            <w:tcW w:type="dxa" w:w="701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Hold confidence over enormous volume and consequential governance without watching everything — the system brings you what needs you, when it needs you, and stays quiet otherwise.</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Integrating engineer</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Integrate governed intelligence into your own product or pipeline quickly, with the governance travelling inline with the data — not something to re-implement or able to be stripped.</w:t>
            </w:r>
          </w:p>
        </w:tc>
      </w:tr>
      <w:tr>
        <w:tc>
          <w:tcPr>
            <w:tcW w:type="dxa" w:w="235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b/>
                <w:bCs/>
              </w:rPr>
              <w:t xml:space="preserve">Super-admin</w:t>
            </w:r>
          </w:p>
        </w:tc>
        <w:tc>
          <w:tcPr>
            <w:tcW w:type="dxa" w:w="701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Exercise total control over what the system permits — taxonomy, thresholds, access, tiers — with every high-privilege action safe by construction and fully accountable.</w:t>
            </w:r>
          </w:p>
        </w:tc>
      </w:tr>
    </w:tbl>
    <w:p>
      <w:pPr>
        <w:pStyle w:val="Heading1"/>
      </w:pPr>
      <w:r>
        <w:t xml:space="preserve">3.  The Trust Model</w:t>
      </w:r>
    </w:p>
    <w:p>
      <w:pPr>
        <w:spacing w:after="140" w:line="264"/>
      </w:pPr>
      <w:r>
        <w:t xml:space="preserve">Trust is the experience’s central deliverable, and it is layered so it is available on demand without being imposed. A decision-maker sees an answer and a single, legible signal of how far it can be trusted; if they reach further, they see why; if they reach further still, they see the full accountable record. Trust is progressive: the surface is calm by default and deepens only as the user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Layer</w:t>
            </w:r>
          </w:p>
        </w:tc>
        <w:tc>
          <w:tcPr>
            <w:tcW w:type="dxa" w:w="706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What the user sees</w:t>
            </w:r>
          </w:p>
        </w:tc>
      </w:tr>
      <w:tr>
        <w:tc>
          <w:tcPr>
            <w:tcW w:type="dxa" w:w="2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answer</w:t>
            </w:r>
          </w:p>
        </w:tc>
        <w:tc>
          <w:tcPr>
            <w:tcW w:type="dxa" w:w="70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intelligence itself, in plain terms, with one clear signal of its defensibility class — what it may be asserted as.</w:t>
            </w:r>
          </w:p>
        </w:tc>
      </w:tr>
      <w:tr>
        <w:tc>
          <w:tcPr>
            <w:tcW w:type="dxa" w:w="230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The reasoning</w:t>
            </w:r>
          </w:p>
        </w:tc>
        <w:tc>
          <w:tcPr>
            <w:tcW w:type="dxa" w:w="706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On reach: why this answer, which units it rests on, what was contested, why it was asserted at the class it was.</w:t>
            </w:r>
          </w:p>
        </w:tc>
      </w:tr>
      <w:tr>
        <w:tc>
          <w:tcPr>
            <w:tcW w:type="dxa" w:w="2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record</w:t>
            </w:r>
          </w:p>
        </w:tc>
        <w:tc>
          <w:tcPr>
            <w:tcW w:type="dxa" w:w="70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On reach: the full accountable trail — provenance, the governed verdict and its rule, the lawful basis, the refusals — the same substance the DPO sees.</w:t>
            </w:r>
          </w:p>
        </w:tc>
      </w:tr>
    </w:tbl>
    <w:p>
      <w:r>
        <w:br w:type="page"/>
      </w:r>
    </w:p>
    <w:p>
      <w:pPr>
        <w:pBdr>
          <w:left w:val="single" w:color="1A2330" w:sz="18" w:space="10"/>
        </w:pBdr>
        <w:shd w:fill="9F1239" w:val="clear"/>
        <w:spacing w:after="130" w:before="260"/>
      </w:pPr>
      <w:r>
        <w:rPr>
          <w:b/>
          <w:bCs/>
          <w:color w:val="FFFFFF"/>
          <w:sz w:val="24"/>
          <w:szCs w:val="24"/>
        </w:rPr>
        <w:t xml:space="preserve">Part II — The Surfaces</w:t>
      </w:r>
    </w:p>
    <w:p>
      <w:pPr>
        <w:pStyle w:val="Heading1"/>
      </w:pPr>
      <w:r>
        <w:t xml:space="preserve">4.  The Surface Map</w:t>
      </w:r>
    </w:p>
    <w:p>
      <w:pPr>
        <w:spacing w:after="140" w:line="264"/>
      </w:pPr>
      <w:r>
        <w:t xml:space="preserve">Each user reaches the system through a surface designed for their promise. The surfaces share one substrate — the governed intelligence and its trace — and differ in what they foreground. A single public entry routes each authenticated user to their surface; role differentiation is a routing concern, not a layout concern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c>
          <w:tcPr>
            <w:tcW w:type="dxa" w:w="235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Surface</w:t>
            </w:r>
          </w:p>
        </w:tc>
        <w:tc>
          <w:tcPr>
            <w:tcW w:type="dxa" w:w="701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Serves / foregrounds</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Decisions console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decision-maker. Foregrounds the question and the answer; trust on reach; nothing analytic imposed.</w:t>
            </w:r>
          </w:p>
        </w:tc>
      </w:tr>
      <w:tr>
        <w:tc>
          <w:tcPr>
            <w:tcW w:type="dxa" w:w="235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Product surface</w:t>
            </w:r>
          </w:p>
        </w:tc>
        <w:tc>
          <w:tcPr>
            <w:tcW w:type="dxa" w:w="701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The external buyer. Foregrounds the intelligence product and its guarantee; the estate, governors, and extraction are never shown.</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Integration surface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integrating engineer. Foregrounds keys, endpoints, and the response contract in which governance travels inline. Two paths (§6).</w:t>
            </w:r>
          </w:p>
        </w:tc>
      </w:tr>
      <w:tr>
        <w:tc>
          <w:tcPr>
            <w:tcW w:type="dxa" w:w="235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Operator surface</w:t>
            </w:r>
          </w:p>
        </w:tc>
        <w:tc>
          <w:tcPr>
            <w:tcW w:type="dxa" w:w="701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The operator. Foregrounds exceptions — what needs attention across volume, governance, and infrastructure — and stays quiet otherwise (§7).</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Governance surface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DPO. Foregrounds the accountable record: lawful basis, refusals, the Ledger, retention.</w:t>
            </w:r>
          </w:p>
        </w:tc>
      </w:tr>
      <w:tr>
        <w:tc>
          <w:tcPr>
            <w:tcW w:type="dxa" w:w="235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Control surface</w:t>
            </w:r>
          </w:p>
        </w:tc>
        <w:tc>
          <w:tcPr>
            <w:tcW w:type="dxa" w:w="701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The super-admin. Foregrounds high-privilege functions, each guarded and logged (§8).</w:t>
            </w:r>
          </w:p>
        </w:tc>
      </w:tr>
    </w:tbl>
    <w:p>
      <w:pPr>
        <w:pStyle w:val="Heading1"/>
      </w:pPr>
      <w:r>
        <w:t xml:space="preserve">5.  The Two Consumption Consoles</w:t>
      </w:r>
    </w:p>
    <w:p>
      <w:pPr>
        <w:spacing w:after="140" w:line="264"/>
      </w:pPr>
      <w:r>
        <w:t xml:space="preserve">Two consoles consume intelligence, for two different promises. The decisions console serves internal decision-making — the question, the answer, trust on reach. The product surface serves external buyers — the intelligence as a product, with its guarantee, and none of the system’s internals. They share the trace substrate; they foreground opposite things: the decisions console foregrounds the answer to a live question, the product surface foregrounds a durable, reliable deliverable.</w:t>
      </w:r>
    </w:p>
    <w:p>
      <w:pPr>
        <w:pStyle w:val="Heading1"/>
      </w:pPr>
      <w:r>
        <w:t xml:space="preserve">6.  The Integration Surface — Two Paths</w:t>
      </w:r>
    </w:p>
    <w:p>
      <w:pPr>
        <w:spacing w:after="140" w:line="264"/>
      </w:pPr>
      <w:r>
        <w:t xml:space="preserve">The integrating engineer reaches the system programmatically and never sees a console, so the governance cannot be rendered for them — it must travel inline in the response contract, inseparable from the claim. The surface serves two distinct integration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Path</w:t>
            </w:r>
          </w:p>
        </w:tc>
        <w:tc>
          <w:tcPr>
            <w:tcW w:type="dxa" w:w="696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Promise and shape</w:t>
            </w:r>
          </w:p>
        </w:tc>
      </w:tr>
      <w:tr>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Productization (live)</w:t>
            </w:r>
          </w:p>
        </w:tc>
        <w:tc>
          <w:tcPr>
            <w:tcW w:type="dxa" w:w="6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Build fast on live intelligence through the inner gate. Self-serve key generation, live query, low friction — and every response carries the defensibility class inline with the claim, the floor enforced server-side, the trace_id returned. Governance is non-optional in the response shape.</w:t>
            </w:r>
          </w:p>
        </w:tc>
      </w:tr>
      <w:tr>
        <w:tc>
          <w:tcPr>
            <w:tcW w:type="dxa" w:w="240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b/>
                <w:bCs/>
              </w:rPr>
              <w:t xml:space="preserve">Data-buying (extract)</w:t>
            </w:r>
          </w:p>
        </w:tc>
        <w:tc>
          <w:tcPr>
            <w:tcW w:type="dxa" w:w="696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Acquire datasets or skills through the outer gate, defensibly. Rights-checked, irreversibility-applied, cumulative-disclosure-guarded. The friction is the feature: it is what makes the data lawfully the buyer’s to use. Gated at the key’s scope.</w:t>
            </w:r>
          </w:p>
        </w:tc>
      </w:tr>
    </w:tbl>
    <w:p>
      <w:pPr>
        <w:pBdr>
          <w:top w:val="single" w:color="9F1239" w:sz="4" w:space="6"/>
          <w:left w:val="single" w:color="9F1239" w:sz="14" w:space="8"/>
          <w:bottom w:val="single" w:color="9F1239" w:sz="4" w:space="6"/>
          <w:right w:val="single" w:color="9F1239" w:sz="4" w:space="6"/>
        </w:pBdr>
        <w:shd w:fill="FDF2F5" w:val="clear"/>
        <w:spacing w:after="140" w:before="60"/>
      </w:pPr>
      <w:r>
        <w:rPr>
          <w:b/>
          <w:bCs/>
          <w:color w:val="9F1239"/>
        </w:rPr>
        <w:t xml:space="preserve">Governance travels with the data.  </w:t>
      </w:r>
      <w:r>
        <w:t xml:space="preserve">The integration surface’s defining constraint: a careless integrator must not be able to take the claim and drop its defensibility. The class is inline with the claim in the response contract; the floor is enforced server-side, not client-side; the file-out path is gated at the key’s scope; the audit trail is generated whether or not the integrator requests it. This is the same guard the system applies everywhere — the powerful thing (programmatic access at scale) walled from the ungoverned thing (raw claims without their defensibility) — expressed in the response contract.</w:t>
      </w:r>
    </w:p>
    <w:p>
      <w:pPr>
        <w:pStyle w:val="Heading1"/>
      </w:pPr>
      <w:r>
        <w:t xml:space="preserve">7.  The Operator Surface</w:t>
      </w:r>
    </w:p>
    <w:p>
      <w:pPr>
        <w:spacing w:after="140" w:line="264"/>
      </w:pPr>
      <w:r>
        <w:t xml:space="preserve">The operator carries the highest cognitive load in the system — volume, customer-sensitivity tiers, governance thresholds, infrastructure health — and the promise is confidence without vigilance. The surface is therefore exception-first, not dashboard-first: it is calm when the system is healthy and surfaces exactly what needs a human when something crosses a threshold. A wall of always-on dashboards would defeat the promise by making everything equally present, which is how the critical thing slips.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Dimension</w:t>
            </w:r>
          </w:p>
        </w:tc>
        <w:tc>
          <w:tcPr>
            <w:tcW w:type="dxa" w:w="6760"/>
            <w:tcBorders>
              <w:top w:val="single" w:color="C9D2DC" w:sz="1"/>
              <w:left w:val="single" w:color="C9D2DC" w:sz="1"/>
              <w:bottom w:val="single" w:color="C9D2DC" w:sz="1"/>
              <w:right w:val="single" w:color="C9D2DC" w:sz="1"/>
            </w:tcBorders>
            <w:shd w:fill="9F1239" w:val="clear"/>
            <w:tcMar>
              <w:top w:type="dxa" w:w="60"/>
              <w:left w:type="dxa" w:w="110"/>
              <w:bottom w:type="dxa" w:w="60"/>
              <w:right w:type="dxa" w:w="110"/>
            </w:tcMar>
            <w:vAlign w:val="center"/>
          </w:tcPr>
          <w:p>
            <w:pPr>
              <w:spacing w:after="0" w:line="248"/>
            </w:pPr>
            <w:r>
              <w:rPr>
                <w:b/>
                <w:bCs/>
                <w:color w:val="FFFFFF"/>
                <w:sz w:val="18"/>
                <w:szCs w:val="18"/>
              </w:rPr>
              <w:t xml:space="preserve">Surfaced as an exception when…</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Throughput / volume</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queue, extraction rate, or backlog crosses a health threshold.</w:t>
            </w:r>
          </w:p>
        </w:tc>
      </w:tr>
      <w:tr>
        <w:tc>
          <w:tcPr>
            <w:tcW w:type="dxa" w:w="260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Governance</w:t>
            </w:r>
          </w:p>
        </w:tc>
        <w:tc>
          <w:tcPr>
            <w:tcW w:type="dxa" w:w="676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A floor is being refused at rate, a class distribution shifts materially, or a gate result changes.</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Customer / tenancy</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sensitive-tier tenancy or a rights boundary needs attention.</w:t>
            </w:r>
          </w:p>
        </w:tc>
      </w:tr>
      <w:tr>
        <w:tc>
          <w:tcPr>
            <w:tcW w:type="dxa" w:w="260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Infrastructure</w:t>
            </w:r>
          </w:p>
        </w:tc>
        <w:tc>
          <w:tcPr>
            <w:tcW w:type="dxa" w:w="6760"/>
            <w:tcBorders>
              <w:top w:val="single" w:color="C9D2DC" w:sz="1"/>
              <w:left w:val="single" w:color="C9D2DC" w:sz="1"/>
              <w:bottom w:val="single" w:color="C9D2DC" w:sz="1"/>
              <w:right w:val="single" w:color="C9D2DC" w:sz="1"/>
            </w:tcBorders>
            <w:shd w:fill="FBEEF2" w:val="clear"/>
            <w:tcMar>
              <w:top w:type="dxa" w:w="60"/>
              <w:left w:type="dxa" w:w="110"/>
              <w:bottom w:type="dxa" w:w="60"/>
              <w:right w:type="dxa" w:w="110"/>
            </w:tcMar>
            <w:vAlign w:val="center"/>
          </w:tcPr>
          <w:p>
            <w:pPr>
              <w:spacing w:after="0" w:line="248"/>
            </w:pPr>
            <w:r>
              <w:rPr>
                <w:sz w:val="18"/>
                <w:szCs w:val="18"/>
              </w:rPr>
              <w:t xml:space="preserve">Compute, substrate, or a perception model degrades against its budget (e.g. runtime past 4× realtime).</w:t>
            </w:r>
          </w:p>
        </w:tc>
      </w:tr>
    </w:tbl>
    <w:p>
      <w:pPr>
        <w:pStyle w:val="Heading1"/>
      </w:pPr>
      <w:r>
        <w:t xml:space="preserve">8.  The Governance and Control Surfaces</w:t>
      </w:r>
    </w:p>
    <w:p>
      <w:pPr>
        <w:pStyle w:val="Heading3"/>
      </w:pPr>
      <w:r>
        <w:t xml:space="preserve">Governance surface (DPO)</w:t>
      </w:r>
    </w:p>
    <w:p>
      <w:pPr>
        <w:spacing w:after="140" w:line="264"/>
      </w:pPr>
      <w:r>
        <w:t xml:space="preserve">The DPO’s promise is proof of lawfulness and accountability on demand. The surface foregrounds the accountable record — the Northena Ledger, the lawful basis on every run, the refusals, and retention — as evidence, not as logs to trawl. It is the audit lens (§11) at the scope of the whole system.</w:t>
      </w:r>
    </w:p>
    <w:p>
      <w:pPr>
        <w:pStyle w:val="Heading3"/>
      </w:pPr>
      <w:r>
        <w:t xml:space="preserve">Control surface (super-admin)</w:t>
      </w:r>
    </w:p>
    <w:p>
      <w:pPr>
        <w:spacing w:after="140" w:line="264"/>
      </w:pPr>
      <w:r>
        <w:t xml:space="preserve">The super-admin exercises the highest-privilege functions, in classes: the governed taxonomy (the Qualification Matrix and source-standing), governance thresholds, access and key authority, and tenancy/tier control. The promise is total control with every high-privilege action safe by construction — versioned, diffed, and logged — so authority never becomes an un-audited edit. The surface is not editorial; it is administrative, with each function class guarded and accountable.</w:t>
      </w:r>
    </w:p>
    <w:p>
      <w:r>
        <w:br w:type="page"/>
      </w:r>
    </w:p>
    <w:p>
      <w:pPr>
        <w:pBdr>
          <w:left w:val="single" w:color="1A2330" w:sz="18" w:space="10"/>
        </w:pBdr>
        <w:shd w:fill="9F1239" w:val="clear"/>
        <w:spacing w:after="130" w:before="260"/>
      </w:pPr>
      <w:r>
        <w:rPr>
          <w:b/>
          <w:bCs/>
          <w:color w:val="FFFFFF"/>
          <w:sz w:val="24"/>
          <w:szCs w:val="24"/>
        </w:rPr>
        <w:t xml:space="preserve">Part III — The Three Trace Lenses</w:t>
      </w:r>
    </w:p>
    <w:p>
      <w:pPr>
        <w:pStyle w:val="Heading1"/>
      </w:pPr>
      <w:r>
        <w:t xml:space="preserve">9.  The Lenses as the Core Experience Primitive</w:t>
      </w:r>
    </w:p>
    <w:p>
      <w:pPr>
        <w:spacing w:after="140" w:line="264"/>
      </w:pPr>
      <w:r>
        <w:t xml:space="preserve">The trace lens is the experience primitive that makes trust progressive. One piece of intelligence can be inspected at three depths — the unit, the reasoning, the record — and the lenses are not three tabs a user chooses between; they are depth a user pulls toward. The default surface shows the shallowest lens; each deeper lens is reached only when the user doubts what the shallower one showed. Every lens is joined by one trace_id (§12).</w:t>
      </w:r>
    </w:p>
    <w:p>
      <w:pPr>
        <w:pStyle w:val="Heading1"/>
      </w:pPr>
      <w:r>
        <w:t xml:space="preserve">10.  The Unit Lens</w:t>
      </w:r>
    </w:p>
    <w:p>
      <w:pPr>
        <w:spacing w:after="140" w:line="264"/>
      </w:pPr>
      <w:r>
        <w:t xml:space="preserve">The unit lens shows a single piece of intelligence as it will be used: the claim, in plain terms, with its defensibility class and its provenance. It answers “what is this, and how far can I trust it” without requiring the user to reason about the system. The class is the one legible trust signal; the provenance is one reach away. This is the lens the decision-maker and the buyer live in.</w:t>
      </w:r>
    </w:p>
    <w:p>
      <w:pPr>
        <w:pStyle w:val="Heading1"/>
      </w:pPr>
      <w:r>
        <w:t xml:space="preserve">11.  The Reasoning Lens</w:t>
      </w:r>
    </w:p>
    <w:p>
      <w:pPr>
        <w:spacing w:after="140" w:line="264"/>
      </w:pPr>
      <w:r>
        <w:t xml:space="preserve">The reasoning lens shows why an answer is what it is: the units the conclusion rests on (the load-bearing set), what was corroborated, contradicted, or retracted (the Tension the reasoning surfaced), and why the conclusion was asserted at the class it was — the floor over its load-bearing units. It makes Solva’s reasoning legible without exposing its internals: the user sees the shape of the judgment and the reason for the class, not model mechanics. This is the lens a decision-maker reaches for when an answer surprises them.</w:t>
      </w:r>
    </w:p>
    <w:p>
      <w:pPr>
        <w:pStyle w:val="Heading1"/>
      </w:pPr>
      <w:r>
        <w:t xml:space="preserve">12.  The Audit Lens and trace_id</w:t>
      </w:r>
    </w:p>
    <w:p>
      <w:pPr>
        <w:spacing w:after="140" w:line="264"/>
      </w:pPr>
      <w:r>
        <w:t xml:space="preserve">The audit lens shows the full accountable record: provenance, the governed verdict and the Matrix rule that produced it, the lawful basis admitted for the run, the refusals, and the Ledger entry. It is the DPO’s home surface and the deepest reach available from any answer. Nothing in it is reconstructed for display — it is the same record the system keeps for accountability.</w:t>
      </w:r>
    </w:p>
    <w:p>
      <w:pPr>
        <w:pBdr>
          <w:top w:val="single" w:color="9F1239" w:sz="4" w:space="6"/>
          <w:left w:val="single" w:color="9F1239" w:sz="14" w:space="8"/>
          <w:bottom w:val="single" w:color="9F1239" w:sz="4" w:space="6"/>
          <w:right w:val="single" w:color="9F1239" w:sz="4" w:space="6"/>
        </w:pBdr>
        <w:shd w:fill="FDF2F5" w:val="clear"/>
        <w:spacing w:after="140" w:before="60"/>
      </w:pPr>
      <w:r>
        <w:rPr>
          <w:b/>
          <w:bCs/>
          <w:color w:val="9F1239"/>
        </w:rPr>
        <w:t xml:space="preserve">One trace_id joins every lens and every surface.  </w:t>
      </w:r>
      <w:r>
        <w:t xml:space="preserve">A single trace_id joins the unit to its reasoning to its audit record, and joins an answer in the decisions console to the same answer’s record in the governance surface and to the response returned through the integration surface. A user reaching from an answer to its reasoning to its record never crosses a seam; the DPO auditing a run sees the same trace the decision-maker acted on. The trace_id is the thread that makes the whole experience one fabric.</w:t>
      </w:r>
    </w:p>
    <w:p>
      <w:r>
        <w:br w:type="page"/>
      </w:r>
    </w:p>
    <w:p>
      <w:pPr>
        <w:pBdr>
          <w:left w:val="single" w:color="1A2330" w:sz="18" w:space="10"/>
        </w:pBdr>
        <w:shd w:fill="9F1239" w:val="clear"/>
        <w:spacing w:after="130" w:before="260"/>
      </w:pPr>
      <w:r>
        <w:rPr>
          <w:b/>
          <w:bCs/>
          <w:color w:val="FFFFFF"/>
          <w:sz w:val="24"/>
          <w:szCs w:val="24"/>
        </w:rPr>
        <w:t xml:space="preserve">Part IV — How Governance Surfaces</w:t>
      </w:r>
    </w:p>
    <w:p>
      <w:pPr>
        <w:pStyle w:val="Heading1"/>
      </w:pPr>
      <w:r>
        <w:t xml:space="preserve">13.  Defensibility Class at the Point of Consumption</w:t>
      </w:r>
    </w:p>
    <w:p>
      <w:pPr>
        <w:spacing w:after="140" w:line="264"/>
      </w:pPr>
      <w:r>
        <w:t xml:space="preserve">The defensibility class is present on every unit of intelligence, everywhere it is consumed, as the one legible trust signal. It is shown as what the claim may be asserted as — an established fact, a recorded statement (‘X was stated’), or non-factual context — in plain language, not as a score or a jargon label. The class is never hidden to make an answer look stronger, and it is never elaborated into a number that invites false precision. It is the honest headline of every answer.</w:t>
      </w:r>
    </w:p>
    <w:p>
      <w:pPr>
        <w:pStyle w:val="Heading1"/>
      </w:pPr>
      <w:r>
        <w:t xml:space="preserve">14.  Refusal-Below-Floor as a Visible, Explained Event</w:t>
      </w:r>
    </w:p>
    <w:p>
      <w:pPr>
        <w:spacing w:after="140" w:line="264"/>
      </w:pPr>
      <w:r>
        <w:t xml:space="preserve">When an objective demands a defensibility floor the available intelligence cannot meet, the system refuses — and the refusal is a first-class, explained experience, not an empty result or a silent downgrade. The user is told that the answer would fall below the floor they required, what class the available evidence actually supports, and what would raise it (corroboration, an accountable source). A refusal is the system keeping its promise, and the experience presents it as such: the honest ‘not to this standard, and here is why’ that makes the affirmative answers trustworthy.</w:t>
      </w:r>
    </w:p>
    <w:p>
      <w:pPr>
        <w:pBdr>
          <w:top w:val="single" w:color="9F1239" w:sz="4" w:space="6"/>
          <w:left w:val="single" w:color="9F1239" w:sz="14" w:space="8"/>
          <w:bottom w:val="single" w:color="9F1239" w:sz="4" w:space="6"/>
          <w:right w:val="single" w:color="9F1239" w:sz="4" w:space="6"/>
        </w:pBdr>
        <w:shd w:fill="FDF2F5" w:val="clear"/>
        <w:spacing w:after="140" w:before="60"/>
      </w:pPr>
      <w:r>
        <w:rPr>
          <w:b/>
          <w:bCs/>
          <w:color w:val="9F1239"/>
        </w:rPr>
        <w:t xml:space="preserve">Why the refusal is shown, not hidden.  </w:t>
      </w:r>
      <w:r>
        <w:t xml:space="preserve">A system that silently returns a weaker answer than asked for, or an empty one, teaches the user not to trust it. Showing the refusal — with the class the evidence supports and the path to raise it — is what makes every non-refused answer credible. The refusal is the visible edge of the guarantee.</w:t>
      </w:r>
    </w:p>
    <w:p>
      <w:pPr>
        <w:pStyle w:val="Heading1"/>
      </w:pPr>
      <w:r>
        <w:t xml:space="preserve">15.  The Two Perimeters in the Experience</w:t>
      </w:r>
    </w:p>
    <w:p>
      <w:pPr>
        <w:spacing w:after="140" w:line="264"/>
      </w:pPr>
      <w:r>
        <w:t xml:space="preserve">The two delivery perimeters surface as two different experiences of receiving intelligence. Inner-gate delivery is live: intelligence served in-tenancy, in the consoles and through the productization API, felt as a fast, direct answer. Outer-gate delivery is an acquisition: a governed file-out through the data-buying path, felt as a deliberate, rights-checked transaction whose friction is the assurance. The user is never asked to understand ‘gates’; they experience either a live answer or a governed acquisition, and the perimeter is the system’s concern beneath that.</w:t>
      </w:r>
    </w:p>
    <w:p>
      <w:r>
        <w:br w:type="page"/>
      </w:r>
    </w:p>
    <w:p>
      <w:pPr>
        <w:pBdr>
          <w:left w:val="single" w:color="1A2330" w:sz="18" w:space="10"/>
        </w:pBdr>
        <w:shd w:fill="9F1239" w:val="clear"/>
        <w:spacing w:after="130" w:before="260"/>
      </w:pPr>
      <w:r>
        <w:rPr>
          <w:b/>
          <w:bCs/>
          <w:color w:val="FFFFFF"/>
          <w:sz w:val="24"/>
          <w:szCs w:val="24"/>
        </w:rPr>
        <w:t xml:space="preserve">Part V — Experience Invariants</w:t>
      </w:r>
    </w:p>
    <w:p>
      <w:pPr>
        <w:pStyle w:val="Heading1"/>
      </w:pPr>
      <w:r>
        <w:t xml:space="preserve">16.  Invariants</w:t>
      </w:r>
    </w:p>
    <w:p>
      <w:pPr>
        <w:spacing w:after="140" w:line="264"/>
      </w:pPr>
      <w:r>
        <w:t xml:space="preserve">Binding on any correct experience. A design that violates one fails the promise regardless of how it looks.</w:t>
      </w:r>
    </w:p>
    <w:p>
      <w:pPr>
        <w:pStyle w:val="ListParagraph"/>
        <w:numPr>
          <w:ilvl w:val="0"/>
          <w:numId w:val="2"/>
        </w:numPr>
        <w:spacing w:after="70" w:line="258"/>
      </w:pPr>
      <w:r>
        <w:t xml:space="preserve">The experience is designed from each user’s promise inward; the architecture is surfaced only where it makes the promise more trustworthy or the path shorter. No surface mirrors the system’s internals for their own sake.</w:t>
      </w:r>
    </w:p>
    <w:p>
      <w:pPr>
        <w:pStyle w:val="ListParagraph"/>
        <w:numPr>
          <w:ilvl w:val="0"/>
          <w:numId w:val="2"/>
        </w:numPr>
        <w:spacing w:after="70" w:line="258"/>
      </w:pPr>
      <w:r>
        <w:t xml:space="preserve">Governance is felt as trust, not operated as machinery. The default experience delivers the promise without requiring the user to think about lenses, classes, or governors.</w:t>
      </w:r>
    </w:p>
    <w:p>
      <w:pPr>
        <w:pStyle w:val="ListParagraph"/>
        <w:numPr>
          <w:ilvl w:val="0"/>
          <w:numId w:val="2"/>
        </w:numPr>
        <w:spacing w:after="70" w:line="258"/>
      </w:pPr>
      <w:r>
        <w:t xml:space="preserve">Every unit of intelligence surfaces its defensibility class, everywhere it is consumed, in plain language — never hidden to strengthen an answer, never inflated into false precision.</w:t>
      </w:r>
    </w:p>
    <w:p>
      <w:pPr>
        <w:pStyle w:val="ListParagraph"/>
        <w:numPr>
          <w:ilvl w:val="0"/>
          <w:numId w:val="2"/>
        </w:numPr>
        <w:spacing w:after="70" w:line="258"/>
      </w:pPr>
      <w:r>
        <w:t xml:space="preserve">Trust is progressive across the three lenses: the answer, then the reasoning on reach, then the accountable record on reach. Depth is available on demand and imposed on no one.</w:t>
      </w:r>
    </w:p>
    <w:p>
      <w:pPr>
        <w:pStyle w:val="ListParagraph"/>
        <w:numPr>
          <w:ilvl w:val="0"/>
          <w:numId w:val="2"/>
        </w:numPr>
        <w:spacing w:after="70" w:line="258"/>
      </w:pPr>
      <w:r>
        <w:t xml:space="preserve">A single trace_id joins the three lenses and joins every surface, so a user never crosses a seam moving from an answer to its reasoning to its record, and the DPO audits the same trace the user acted on.</w:t>
      </w:r>
    </w:p>
    <w:p>
      <w:pPr>
        <w:pStyle w:val="ListParagraph"/>
        <w:numPr>
          <w:ilvl w:val="0"/>
          <w:numId w:val="2"/>
        </w:numPr>
        <w:spacing w:after="70" w:line="258"/>
      </w:pPr>
      <w:r>
        <w:t xml:space="preserve">A refusal-below-floor is a visible, explained event — the class the evidence supports and the path to raise it — never a silent downgrade or an empty result.</w:t>
      </w:r>
    </w:p>
    <w:p>
      <w:pPr>
        <w:pStyle w:val="ListParagraph"/>
        <w:numPr>
          <w:ilvl w:val="0"/>
          <w:numId w:val="2"/>
        </w:numPr>
        <w:spacing w:after="70" w:line="258"/>
      </w:pPr>
      <w:r>
        <w:t xml:space="preserve">Through the integration surface, governance travels inline with the data: the class is inseparable from the claim in the response contract, the floor is enforced server-side, and the audit trail is generated regardless of request.</w:t>
      </w:r>
    </w:p>
    <w:p>
      <w:pPr>
        <w:pStyle w:val="ListParagraph"/>
        <w:numPr>
          <w:ilvl w:val="0"/>
          <w:numId w:val="2"/>
        </w:numPr>
        <w:spacing w:after="70" w:line="258"/>
      </w:pPr>
      <w:r>
        <w:t xml:space="preserve">The operator surface is exception-first: calm when healthy, surfacing exactly what needs a human when a threshold is crossed. It never relies on constant vigilance over always-on dashboards.</w:t>
      </w:r>
    </w:p>
    <w:p>
      <w:pPr>
        <w:pStyle w:val="ListParagraph"/>
        <w:numPr>
          <w:ilvl w:val="0"/>
          <w:numId w:val="2"/>
        </w:numPr>
        <w:spacing w:after="70" w:line="258"/>
      </w:pPr>
      <w:r>
        <w:t xml:space="preserve">Every internal user — operator, DPO, super-admin — has a promise the experience is anchored to; none is treated as tooling without a designed experience.</w:t>
      </w:r>
    </w:p>
    <w:p>
      <w:pPr>
        <w:pStyle w:val="ListParagraph"/>
        <w:numPr>
          <w:ilvl w:val="0"/>
          <w:numId w:val="2"/>
        </w:numPr>
        <w:spacing w:after="70" w:line="258"/>
      </w:pPr>
      <w:r>
        <w:t xml:space="preserve">High-privilege control actions are safe by construction — versioned, diffed, and logged — so administrative authority is never an un-audited edit.</w:t>
      </w:r>
    </w:p>
    <w:p>
      <w:pPr>
        <w:spacing w:after="60"/>
      </w:pPr>
      <w:r>
        <w:t xml:space="preserve"/>
      </w:r>
    </w:p>
    <w:p>
      <w:pPr>
        <w:pBdr>
          <w:top w:val="single" w:color="9F1239" w:sz="4" w:space="6"/>
          <w:left w:val="single" w:color="9F1239" w:sz="14" w:space="8"/>
          <w:bottom w:val="single" w:color="9F1239" w:sz="4" w:space="6"/>
          <w:right w:val="single" w:color="9F1239" w:sz="4" w:space="6"/>
        </w:pBdr>
        <w:shd w:fill="FDF2F5" w:val="clear"/>
        <w:spacing w:after="140" w:before="60"/>
      </w:pPr>
      <w:r>
        <w:rPr>
          <w:b/>
          <w:bCs/>
          <w:color w:val="9F1239"/>
        </w:rPr>
        <w:t xml:space="preserve">Status.  </w:t>
      </w:r>
      <w:r>
        <w:t xml:space="preserve">This specification is complete at the level of experience architecture. It anchors every surface to a user’s promise, states the trust model and the three trace lenses that deliver it, and fixes how defensibility, refusal, and the two perimeters surface. The concrete interface — the landing and routing, the console layouts, the developer surface, the control panels — is specified in the companion Interface Specification, consistent with this document, which prevails on experience matters.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D3DC" w:sz="4" w:space="6"/>
      </w:pBdr>
      <w:jc w:val="center"/>
    </w:pPr>
    <w:r>
      <w:rPr>
        <w:color w:val="9AA3AE"/>
        <w:sz w:val="15"/>
        <w:szCs w:val="15"/>
      </w:rPr>
      <w:t xml:space="preserve">Syni.ai  ·  Experience Architecture  ·  v1.0  ·  July 2026          Page </w:t>
    </w:r>
    <w:r>
      <w:rPr>
        <w:color w:val="9AA3A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D3DC" w:sz="4" w:space="6"/>
      </w:pBdr>
      <w:tabs>
        <w:tab w:val="right" w:pos="9360"/>
      </w:tabs>
      <w:spacing w:after="0"/>
    </w:pPr>
    <w:r>
      <w:rPr>
        <w:b/>
        <w:bCs/>
        <w:color w:val="475569"/>
        <w:sz w:val="16"/>
        <w:szCs w:val="16"/>
      </w:rPr>
      <w:t xml:space="preserve">RMS Intelligence System</w:t>
    </w:r>
    <w:r>
      <w:rPr>
        <w:color w:val="475569"/>
        <w:sz w:val="16"/>
        <w:szCs w:val="16"/>
      </w:rPr>
      <w:t xml:space="preserve">  ·  UX Architecture Specification</w:t>
    </w:r>
    <w:r>
      <w:rPr>
        <w:color w:val="47556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UX-INV-%1."/>
      <w:lvlJc w:val="left"/>
      <w:pPr>
        <w:ind w:left="940" w:hanging="8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9F1239"/>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A2330"/>
      <w:sz w:val="21"/>
      <w:szCs w:val="21"/>
    </w:rPr>
  </w:style>
  <w:style w:type="paragraph" w:styleId="Heading3">
    <w:name w:val="Heading 3"/>
    <w:basedOn w:val="Normal"/>
    <w:next w:val="Normal"/>
    <w:qFormat/>
    <w:pPr>
      <w:keepNext/>
      <w:spacing w:after="60" w:before="140"/>
      <w:outlineLvl w:val="2"/>
    </w:pPr>
    <w:rPr>
      <w:rFonts w:ascii="Arial" w:cs="Arial" w:eastAsia="Arial" w:hAnsi="Arial"/>
      <w:b/>
      <w:bCs/>
      <w:color w:val="47556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Intelligence System — UX Architecture Specification</dc:title>
  <dc:creator>Syni.ai</dc:creator>
  <cp:lastModifiedBy>Un-named</cp:lastModifiedBy>
  <cp:revision>1</cp:revision>
  <dcterms:created xsi:type="dcterms:W3CDTF">2026-07-01T15:39:59.698Z</dcterms:created>
  <dcterms:modified xsi:type="dcterms:W3CDTF">2026-07-01T15:39:59.712Z</dcterms:modified>
</cp:coreProperties>
</file>

<file path=docProps/custom.xml><?xml version="1.0" encoding="utf-8"?>
<Properties xmlns="http://schemas.openxmlformats.org/officeDocument/2006/custom-properties" xmlns:vt="http://schemas.openxmlformats.org/officeDocument/2006/docPropsVTypes"/>
</file>