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CE0B" w14:textId="77777777" w:rsidR="00506FCF" w:rsidRDefault="00000000">
      <w:pPr>
        <w:spacing w:after="60"/>
        <w:jc w:val="center"/>
      </w:pPr>
      <w:r>
        <w:rPr>
          <w:b/>
          <w:bCs/>
          <w:sz w:val="48"/>
          <w:szCs w:val="48"/>
        </w:rPr>
        <w:t>Multi-Signal Housing Price Prediction</w:t>
      </w:r>
    </w:p>
    <w:p w14:paraId="1F7A75E8" w14:textId="77777777" w:rsidR="00506FCF" w:rsidRDefault="00000000">
      <w:pPr>
        <w:spacing w:after="120"/>
        <w:jc w:val="center"/>
      </w:pPr>
      <w:r>
        <w:rPr>
          <w:sz w:val="22"/>
          <w:szCs w:val="22"/>
        </w:rPr>
        <w:t>XGBoost · RentCast AVM · CLIP Condition Scoring</w:t>
      </w:r>
    </w:p>
    <w:p w14:paraId="380A0D10" w14:textId="77777777" w:rsidR="00506FCF" w:rsidRDefault="00000000">
      <w:pPr>
        <w:spacing w:after="40"/>
        <w:jc w:val="center"/>
      </w:pPr>
      <w:r>
        <w:rPr>
          <w:sz w:val="22"/>
          <w:szCs w:val="22"/>
        </w:rPr>
        <w:t>Brantson Bui,  Hanru Li</w:t>
      </w:r>
    </w:p>
    <w:p w14:paraId="74A3F919" w14:textId="77777777" w:rsidR="00506FCF" w:rsidRDefault="00000000">
      <w:pPr>
        <w:spacing w:after="160"/>
        <w:jc w:val="center"/>
      </w:pPr>
      <w:r>
        <w:t>Machine Learning (ML 4824) · April 2026</w:t>
      </w:r>
    </w:p>
    <w:p w14:paraId="51982F90" w14:textId="47B9F031" w:rsidR="00506FCF" w:rsidRDefault="00000000">
      <w:pPr>
        <w:spacing w:after="80"/>
        <w:jc w:val="both"/>
      </w:pPr>
      <w:r>
        <w:rPr>
          <w:b/>
          <w:bCs/>
        </w:rPr>
        <w:t>Abstract</w:t>
      </w:r>
      <w:r w:rsidR="00292FC0">
        <w:rPr>
          <w:b/>
          <w:bCs/>
        </w:rPr>
        <w:t xml:space="preserve">: </w:t>
      </w:r>
      <w:r>
        <w:t>This paper presents a multi-signal housing price prediction system that stacks three complementary signals: (1) an XGBoost structured model trained on 2.2 million US homes across 54 states, (2) a RentCast Automated Valuation Model (AVM) blended with geography-aware weights, and (3) a CLIP zero-shot visual condition scorer that interprets uploaded property photos. The structured model achieves a 28.3% median absolute percentage error (MAPE) on a held-out test split of 8,445 homes. An outlier detection mechanism identifies when the structured model undershoots premium markets and applies a graduated premium boost of up to +30%. When tested on a known sold home ($931,000 in Olney, MD), the full pipeline predicted $929,592</w:t>
      </w:r>
      <w:r w:rsidR="00292FC0">
        <w:t>,</w:t>
      </w:r>
      <w:r>
        <w:t xml:space="preserve"> a 0.15% error. The system is deployed as a Streamlit web application supporting structured inputs, optional address for AVM enrichment, and photo uploads for condition scoring.</w:t>
      </w:r>
    </w:p>
    <w:p w14:paraId="56658E56" w14:textId="77777777" w:rsidR="00506FCF" w:rsidRDefault="00506FCF">
      <w:pPr>
        <w:pBdr>
          <w:bottom w:val="single" w:sz="6" w:space="1" w:color="000000"/>
        </w:pBdr>
        <w:spacing w:before="120"/>
      </w:pPr>
    </w:p>
    <w:p w14:paraId="11127015" w14:textId="77777777" w:rsidR="00506FCF" w:rsidRDefault="00506FCF">
      <w:pPr>
        <w:sectPr w:rsidR="00506FCF">
          <w:type w:val="continuous"/>
          <w:pgSz w:w="12240" w:h="15840"/>
          <w:pgMar w:top="1080" w:right="900" w:bottom="1440" w:left="900" w:header="708" w:footer="708" w:gutter="0"/>
          <w:cols w:space="720"/>
          <w:docGrid w:linePitch="360"/>
        </w:sectPr>
      </w:pPr>
    </w:p>
    <w:p w14:paraId="0B628C41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I. Introduction</w:t>
      </w:r>
    </w:p>
    <w:p w14:paraId="5EAB5D0C" w14:textId="13793A5C" w:rsidR="00506FCF" w:rsidRDefault="00000000">
      <w:pPr>
        <w:spacing w:after="80"/>
        <w:jc w:val="both"/>
      </w:pPr>
      <w:r>
        <w:t>Accurate residential property valuation is a core problem in real estate finance, mortgage underwriting, and consumer decision-making. The US residential real estate market is valued at approximately $47 trillion, yet price estimation remains extraordinarily difficult. Structural features alone</w:t>
      </w:r>
      <w:r w:rsidR="00292FC0">
        <w:t xml:space="preserve">, </w:t>
      </w:r>
      <w:r>
        <w:t>square footage, bedroom count, lot size</w:t>
      </w:r>
      <w:r w:rsidR="00292FC0">
        <w:t xml:space="preserve">, </w:t>
      </w:r>
      <w:r>
        <w:t>explain only approximately 28% of price variance in a national model [1]. The remaining variance is driven by geographic micro-markets, visual condition and finish quality, school districts, and market timing.</w:t>
      </w:r>
    </w:p>
    <w:p w14:paraId="6F1D817A" w14:textId="77777777" w:rsidR="00506FCF" w:rsidRDefault="00000000">
      <w:pPr>
        <w:spacing w:after="80"/>
        <w:ind w:firstLine="360"/>
        <w:jc w:val="both"/>
      </w:pPr>
      <w:r>
        <w:t>This project addresses the challenge through a layered architecture. Each layer adds a signal that the previous layer cannot capture: (1) the structured model captures macro geographic and physical features; (2) AVM and market statistics provide current local pricing context; and (3) CLIP visual scoring incorporates unobserved condition signals that no tabular feature can encode. The combination reduces premium market error from over 60% (structured-only) to under 1% on tested sold homes.</w:t>
      </w:r>
    </w:p>
    <w:p w14:paraId="59FD29A4" w14:textId="77777777" w:rsidR="00506FCF" w:rsidRDefault="00000000">
      <w:pPr>
        <w:spacing w:after="80"/>
        <w:ind w:firstLine="360"/>
        <w:jc w:val="both"/>
      </w:pPr>
      <w:r>
        <w:t>The primary contributions of this work are:</w:t>
      </w:r>
    </w:p>
    <w:p w14:paraId="60337063" w14:textId="77777777" w:rsidR="00506FCF" w:rsidRDefault="00000000">
      <w:pPr>
        <w:spacing w:after="80"/>
        <w:jc w:val="both"/>
      </w:pPr>
      <w:r>
        <w:t>•  A feature-engineered XGBoost model with 40+ features and city/zip target encoding trained on 2.2 million homes.</w:t>
      </w:r>
    </w:p>
    <w:p w14:paraId="306B70D0" w14:textId="77777777" w:rsidR="00506FCF" w:rsidRDefault="00000000">
      <w:pPr>
        <w:spacing w:after="80"/>
        <w:jc w:val="both"/>
      </w:pPr>
      <w:r>
        <w:t>•  A geography-aware multi-signal blending framework with outlier detection and premium boost logic.</w:t>
      </w:r>
    </w:p>
    <w:p w14:paraId="24D3B627" w14:textId="77777777" w:rsidR="00506FCF" w:rsidRDefault="00000000">
      <w:pPr>
        <w:spacing w:after="80"/>
        <w:jc w:val="both"/>
      </w:pPr>
      <w:r>
        <w:t>•  A zero-shot CLIP-based visual condition scorer requiring no labeled training images.</w:t>
      </w:r>
    </w:p>
    <w:p w14:paraId="68FFC0CB" w14:textId="77777777" w:rsidR="00506FCF" w:rsidRDefault="00000000">
      <w:pPr>
        <w:spacing w:after="80"/>
        <w:jc w:val="both"/>
      </w:pPr>
      <w:r>
        <w:t>•  A Streamlit web application integrating all three signals with a human-readable prediction breakdown.</w:t>
      </w:r>
    </w:p>
    <w:p w14:paraId="369428A7" w14:textId="77777777" w:rsidR="00506FCF" w:rsidRDefault="00000000">
      <w:pPr>
        <w:spacing w:after="80"/>
        <w:ind w:firstLine="360"/>
        <w:jc w:val="both"/>
      </w:pPr>
      <w:r>
        <w:t>Table I summarizes the three data sources merged into the training corpus and calibration image set.</w:t>
      </w:r>
    </w:p>
    <w:p w14:paraId="6CE860A3" w14:textId="77777777" w:rsidR="00506FCF" w:rsidRDefault="00000000">
      <w:pPr>
        <w:spacing w:before="120" w:after="40"/>
        <w:jc w:val="center"/>
      </w:pPr>
      <w:r>
        <w:rPr>
          <w:b/>
          <w:bCs/>
          <w:sz w:val="18"/>
          <w:szCs w:val="18"/>
        </w:rPr>
        <w:t>Table I.  Dataset Sources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</w:tblGrid>
      <w:tr w:rsidR="00506FCF" w14:paraId="43AC02FA" w14:textId="77777777">
        <w:tc>
          <w:tcPr>
            <w:tcW w:w="168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0427B" w14:textId="77777777" w:rsidR="00506FCF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68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32680" w14:textId="77777777" w:rsidR="00506FCF" w:rsidRDefault="00000000">
            <w:r>
              <w:rPr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168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8D0B8" w14:textId="77777777" w:rsidR="00506FCF" w:rsidRDefault="00000000">
            <w:r>
              <w:rPr>
                <w:b/>
                <w:bCs/>
                <w:sz w:val="18"/>
                <w:szCs w:val="18"/>
              </w:rPr>
              <w:t>Use</w:t>
            </w:r>
          </w:p>
        </w:tc>
      </w:tr>
      <w:tr w:rsidR="00506FCF" w14:paraId="148EAD91" w14:textId="77777777"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B0C62" w14:textId="77777777" w:rsidR="00506FCF" w:rsidRDefault="00000000">
            <w:r>
              <w:rPr>
                <w:sz w:val="18"/>
                <w:szCs w:val="18"/>
              </w:rPr>
              <w:t>Kaggle Structured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6E418" w14:textId="77777777" w:rsidR="00506FCF" w:rsidRDefault="00000000">
            <w:r>
              <w:rPr>
                <w:sz w:val="18"/>
                <w:szCs w:val="18"/>
              </w:rPr>
              <w:t>2.2M homes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9340E" w14:textId="77777777" w:rsidR="00506FCF" w:rsidRDefault="00000000">
            <w:r>
              <w:rPr>
                <w:sz w:val="18"/>
                <w:szCs w:val="18"/>
              </w:rPr>
              <w:t>XGBoost training</w:t>
            </w:r>
          </w:p>
        </w:tc>
      </w:tr>
      <w:tr w:rsidR="00506FCF" w14:paraId="22BABD81" w14:textId="77777777"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55B28" w14:textId="77777777" w:rsidR="00506FCF" w:rsidRDefault="00000000">
            <w:r>
              <w:rPr>
                <w:sz w:val="18"/>
                <w:szCs w:val="18"/>
              </w:rPr>
              <w:t>Zillow Scraped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6F250" w14:textId="77777777" w:rsidR="00506FCF" w:rsidRDefault="00000000">
            <w:r>
              <w:rPr>
                <w:sz w:val="18"/>
                <w:szCs w:val="18"/>
              </w:rPr>
              <w:t>~4,800 homes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AA64C" w14:textId="77777777" w:rsidR="00506FCF" w:rsidRDefault="00000000">
            <w:r>
              <w:rPr>
                <w:sz w:val="18"/>
                <w:szCs w:val="18"/>
              </w:rPr>
              <w:t>Multi-state supplement</w:t>
            </w:r>
          </w:p>
        </w:tc>
      </w:tr>
      <w:tr w:rsidR="00506FCF" w14:paraId="479F7705" w14:textId="77777777"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4B622" w14:textId="77777777" w:rsidR="00506FCF" w:rsidRDefault="00000000">
            <w:r>
              <w:rPr>
                <w:sz w:val="18"/>
                <w:szCs w:val="18"/>
              </w:rPr>
              <w:t>Realty In US (API)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C2000" w14:textId="77777777" w:rsidR="00506FCF" w:rsidRDefault="00000000">
            <w:r>
              <w:rPr>
                <w:sz w:val="18"/>
                <w:szCs w:val="18"/>
              </w:rPr>
              <w:t>89 homes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47E56" w14:textId="77777777" w:rsidR="00506FCF" w:rsidRDefault="00000000">
            <w:r>
              <w:rPr>
                <w:sz w:val="18"/>
                <w:szCs w:val="18"/>
              </w:rPr>
              <w:t>CLIP calibration images</w:t>
            </w:r>
          </w:p>
        </w:tc>
      </w:tr>
    </w:tbl>
    <w:p w14:paraId="4BA5C31F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II. Related Work</w:t>
      </w:r>
    </w:p>
    <w:p w14:paraId="313B60F7" w14:textId="77777777" w:rsidR="00506FCF" w:rsidRDefault="00000000">
      <w:pPr>
        <w:spacing w:before="100" w:after="60"/>
      </w:pPr>
      <w:r>
        <w:rPr>
          <w:b/>
          <w:bCs/>
        </w:rPr>
        <w:t>A. Automated Valuation Models</w:t>
      </w:r>
    </w:p>
    <w:p w14:paraId="4E03C25D" w14:textId="77777777" w:rsidR="00506FCF" w:rsidRDefault="00000000">
      <w:pPr>
        <w:spacing w:after="80"/>
        <w:jc w:val="both"/>
      </w:pPr>
      <w:r>
        <w:t>Traditional automated valuation models (AVMs) rely on comparable-sale analysis and hedonic regression [2]. Commercial providers such as Zillow (Zestimate) and CoreLogic build proprietary AVMs on hundreds of features, achieving median errors of 2–7% in dense urban markets but degrading significantly in thin or luxury segments [3]. Our system treats a third-party AVM (RentCast) as one signal among several, rather than as a ground truth, allowing structured model estimates to constrain implausible AVM outputs.</w:t>
      </w:r>
    </w:p>
    <w:p w14:paraId="01445370" w14:textId="77777777" w:rsidR="00506FCF" w:rsidRDefault="00000000">
      <w:pPr>
        <w:spacing w:before="100" w:after="60"/>
      </w:pPr>
      <w:r>
        <w:rPr>
          <w:b/>
          <w:bCs/>
        </w:rPr>
        <w:t>B. Machine Learning for Real Estate</w:t>
      </w:r>
    </w:p>
    <w:p w14:paraId="3541A783" w14:textId="77777777" w:rsidR="00506FCF" w:rsidRDefault="00000000">
      <w:pPr>
        <w:spacing w:after="80"/>
        <w:jc w:val="both"/>
      </w:pPr>
      <w:r>
        <w:t>Gradient boosting methods, particularly XGBoost [4] and LightGBM, have become the standard for tabular real estate prediction, consistently outperforming linear and neural-network-based approaches on structured housing datasets [5]. Key challenges include price distribution skew, geographic sparsity, and target leakage from neighborhood-level encodings. Prior work has shown that log-price targets, smooth target encoding for high-cardinality categoricals, and regularization tuned to the data density are the most impactful design decisions [6].</w:t>
      </w:r>
    </w:p>
    <w:p w14:paraId="32C40C6E" w14:textId="77777777" w:rsidR="00506FCF" w:rsidRDefault="00000000">
      <w:pPr>
        <w:spacing w:before="100" w:after="60"/>
      </w:pPr>
      <w:r>
        <w:rPr>
          <w:b/>
          <w:bCs/>
        </w:rPr>
        <w:t>C. Vision-Language Models in Real Estate</w:t>
      </w:r>
    </w:p>
    <w:p w14:paraId="261DB403" w14:textId="77777777" w:rsidR="00506FCF" w:rsidRDefault="00000000">
      <w:pPr>
        <w:spacing w:after="80"/>
        <w:jc w:val="both"/>
      </w:pPr>
      <w:r>
        <w:t>Computer vision approaches to property valuation began with CNN-based feature extractors applied to listing photos [7]. Recent work leverages vision-language models: CLIP [8], trained on 400 million image-text pairs, has been shown to encode semantic concepts such as renovation quality and interior modernity without task-specific fine-tuning. Poursaeed et al. [9] demonstrated that visual features from listing photos predict sale price residuals beyond what tabular models capture, motivating the zero-shot CLIP approach adopted here.</w:t>
      </w:r>
    </w:p>
    <w:p w14:paraId="5C8FA354" w14:textId="77777777" w:rsidR="00506FCF" w:rsidRDefault="00000000">
      <w:pPr>
        <w:spacing w:before="100" w:after="60"/>
      </w:pPr>
      <w:r>
        <w:rPr>
          <w:b/>
          <w:bCs/>
        </w:rPr>
        <w:t>D. Multi-Modal Fusion</w:t>
      </w:r>
    </w:p>
    <w:p w14:paraId="0D79B39C" w14:textId="77777777" w:rsidR="00506FCF" w:rsidRDefault="00000000">
      <w:pPr>
        <w:spacing w:after="80"/>
        <w:jc w:val="both"/>
      </w:pPr>
      <w:r>
        <w:lastRenderedPageBreak/>
        <w:t>Prior multi-modal real estate systems concatenate image embeddings with tabular features and train an end-to-end model [10]. This approach requires large labeled datasets of homes with both photos and sale prices, which are expensive to assemble at national scale. Our approach instead uses CLIP scores to adjust a pre-trained structured model's output, enabling zero-shot generalization and graceful degradation when photos are unavailable.</w:t>
      </w:r>
    </w:p>
    <w:p w14:paraId="10EC1AA0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III. Method</w:t>
      </w:r>
    </w:p>
    <w:p w14:paraId="4CC63362" w14:textId="77777777" w:rsidR="00506FCF" w:rsidRDefault="00000000">
      <w:pPr>
        <w:spacing w:before="100" w:after="60"/>
      </w:pPr>
      <w:r>
        <w:rPr>
          <w:b/>
          <w:bCs/>
        </w:rPr>
        <w:t>A. Structured XGBoost Model</w:t>
      </w:r>
    </w:p>
    <w:p w14:paraId="6AAE0679" w14:textId="77777777" w:rsidR="00506FCF" w:rsidRDefault="00000000">
      <w:pPr>
        <w:spacing w:after="80"/>
        <w:jc w:val="both"/>
      </w:pPr>
      <w:r>
        <w:t>The primary prediction engine is an XGBoost regressor [4] trained on log(1 + price) to compress the price distribution and reduce the influence of outliers. Forty-plus engineered features fall into four categories.</w:t>
      </w:r>
    </w:p>
    <w:p w14:paraId="313B41ED" w14:textId="77777777" w:rsidR="00506FCF" w:rsidRDefault="00000000">
      <w:pPr>
        <w:spacing w:after="80"/>
        <w:ind w:firstLine="360"/>
        <w:jc w:val="both"/>
      </w:pPr>
      <w:r>
        <w:t>Geographic features: City and zip code are encoded with scikit-learn's TargetEncoder (cross-validated, smooth = auto) so each city/zip maps to its mean log-price. State is ordinal-encoded. These encodings allow the model to capture local market premiums without data leakage.</w:t>
      </w:r>
    </w:p>
    <w:p w14:paraId="495CDF23" w14:textId="77777777" w:rsidR="00506FCF" w:rsidRDefault="00000000">
      <w:pPr>
        <w:spacing w:after="80"/>
        <w:ind w:firstLine="360"/>
        <w:jc w:val="both"/>
      </w:pPr>
      <w:r>
        <w:t>Structural features: square footage, bedroom and bathroom counts, bed-bath ratio, sqft-per-bed, sqft², and an is_large_house flag (top 10% of sqft).</w:t>
      </w:r>
    </w:p>
    <w:p w14:paraId="0AE92AD8" w14:textId="77777777" w:rsidR="00506FCF" w:rsidRDefault="00000000">
      <w:pPr>
        <w:spacing w:after="80"/>
        <w:ind w:firstLine="360"/>
        <w:jc w:val="both"/>
      </w:pPr>
      <w:r>
        <w:t>Property features: house age (2025 − year_built), decade-built bucket, and property type one-hot encoded across five categories (single-family, condo, townhouse, multi-family, manufactured).</w:t>
      </w:r>
    </w:p>
    <w:p w14:paraId="2E1D4DE0" w14:textId="77777777" w:rsidR="00506FCF" w:rsidRDefault="00000000">
      <w:pPr>
        <w:spacing w:after="80"/>
        <w:ind w:firstLine="360"/>
        <w:jc w:val="both"/>
      </w:pPr>
      <w:r>
        <w:t>Lot and extras: log(acre_lot), HOA fee (log-transformed), has_pool, garage spaces, and stories.</w:t>
      </w:r>
    </w:p>
    <w:p w14:paraId="35416710" w14:textId="77777777" w:rsidR="00506FCF" w:rsidRDefault="00000000">
      <w:pPr>
        <w:spacing w:after="80"/>
        <w:ind w:firstLine="360"/>
        <w:jc w:val="both"/>
      </w:pPr>
      <w:r>
        <w:t>Hyperparameters were tuned to prevent overfitting to the dense low-price distribution: max_depth = 5, min_child_weight = 15, colsample_bytree = 0.7, reg_lambda = 2.0. An early stopping round of 50 was applied against a 20% hold-out validation set. Training was CUDA-accelerated (approximately 4–6 minutes on GPU).</w:t>
      </w:r>
    </w:p>
    <w:p w14:paraId="291B9EBD" w14:textId="77777777" w:rsidR="00506FCF" w:rsidRDefault="00000000">
      <w:pPr>
        <w:spacing w:before="100" w:after="60"/>
      </w:pPr>
      <w:r>
        <w:rPr>
          <w:b/>
          <w:bCs/>
        </w:rPr>
        <w:t>B. Multi-Signal Blending</w:t>
      </w:r>
    </w:p>
    <w:p w14:paraId="23A58EE8" w14:textId="77777777" w:rsidR="00506FCF" w:rsidRDefault="00000000">
      <w:pPr>
        <w:spacing w:after="80"/>
        <w:jc w:val="both"/>
      </w:pPr>
      <w:r>
        <w:t>The structured model prediction is blended with two external signals when available.</w:t>
      </w:r>
    </w:p>
    <w:p w14:paraId="21681062" w14:textId="77777777" w:rsidR="00506FCF" w:rsidRDefault="00000000">
      <w:pPr>
        <w:spacing w:after="80"/>
        <w:ind w:firstLine="360"/>
        <w:jc w:val="both"/>
      </w:pPr>
      <w:r>
        <w:t>RentCast AVM: When a street address is provided, the RentCast API returns an AVM estimate with a confidence level. Blend weight ranges from 10% (Low confidence) to 60% (High confidence, non-CA geography) and is scaled further when log-space divergence from the structured model exceeds 0.30.</w:t>
      </w:r>
    </w:p>
    <w:p w14:paraId="304938A0" w14:textId="77777777" w:rsidR="00506FCF" w:rsidRDefault="00000000">
      <w:pPr>
        <w:spacing w:after="80"/>
        <w:ind w:firstLine="360"/>
        <w:jc w:val="both"/>
      </w:pPr>
      <w:r>
        <w:t>Zip Market Anchor: Price-per-sqft for the target zip code, multiplied by the home's sqft, provides a property-specific market anchor that requires no API key and acts as a corroboration check.</w:t>
      </w:r>
    </w:p>
    <w:p w14:paraId="040E0E5F" w14:textId="77777777" w:rsidR="00506FCF" w:rsidRDefault="00000000">
      <w:pPr>
        <w:spacing w:after="80"/>
        <w:ind w:firstLine="360"/>
        <w:jc w:val="both"/>
      </w:pPr>
      <w:r>
        <w:t xml:space="preserve">Outlier Detection and Premium Boost: When AVM and market stats agree within 0.30 log-space but both diverge from the structured model by more than 0.42 log units, the structured model is flagged as an outlier. Its weight drops to 5%, and a graduated premium boost of up to +30% is applied for non-CA homes. This mechanism is critical for premium markets where </w:t>
      </w:r>
      <w:r>
        <w:t>sparse high-value training examples cause the structured model to systematically underpredict.</w:t>
      </w:r>
    </w:p>
    <w:p w14:paraId="2A4A077D" w14:textId="77777777" w:rsidR="00506FCF" w:rsidRDefault="00000000">
      <w:pPr>
        <w:spacing w:before="100" w:after="60"/>
      </w:pPr>
      <w:r>
        <w:rPr>
          <w:b/>
          <w:bCs/>
        </w:rPr>
        <w:t>C. CLIP Zero-Shot Condition Scoring</w:t>
      </w:r>
    </w:p>
    <w:p w14:paraId="750E09FE" w14:textId="1D980771" w:rsidR="00506FCF" w:rsidRDefault="00000000">
      <w:pPr>
        <w:spacing w:after="80"/>
        <w:jc w:val="both"/>
      </w:pPr>
      <w:r>
        <w:t>Visual home condition</w:t>
      </w:r>
      <w:r w:rsidR="00292FC0">
        <w:t xml:space="preserve">, </w:t>
      </w:r>
      <w:r>
        <w:t>whether a home has been renovated, has updated finishes, or shows signs of deferred maintenance</w:t>
      </w:r>
      <w:r w:rsidR="00292FC0">
        <w:t xml:space="preserve">, </w:t>
      </w:r>
      <w:r>
        <w:t>can shift sale price by 10–15% yet is absent from any tabular feature. To address this, CLIP ViT-B/32 [8] is used in zero-shot scoring mode.</w:t>
      </w:r>
    </w:p>
    <w:p w14:paraId="36A24F55" w14:textId="77777777" w:rsidR="00506FCF" w:rsidRDefault="00000000">
      <w:pPr>
        <w:spacing w:after="80"/>
        <w:ind w:firstLine="360"/>
        <w:jc w:val="both"/>
      </w:pPr>
      <w:r>
        <w:t>The scoring pipeline computes cosine similarity between the uploaded image and 4 positive prompts (modern, renovated, well-maintained interiors) and 4 negative prompts (outdated, worn, poorly maintained spaces). The raw condition score is mean(positive similarities) − mean(negative similarities). A linear calibration converts the raw score to a log-price adjustment capped at ±0.15 log units (±15%). Up to 5 photos may be uploaded; adjustments are averaged equally.</w:t>
      </w:r>
    </w:p>
    <w:p w14:paraId="0BCA45AD" w14:textId="77777777" w:rsidR="00506FCF" w:rsidRDefault="00000000">
      <w:pPr>
        <w:spacing w:after="80"/>
        <w:ind w:firstLine="360"/>
        <w:jc w:val="both"/>
      </w:pPr>
      <w:r>
        <w:t>When the calibration R² &lt; 0 (i.e., the linear fit is worse than predicting zero), the system applies a centered fallback: adjustment = 2.0 × (raw_score − clip_score_mean), where clip_score_mean is the measured mean from the calibration dataset. This guarantees that average-looking homes receive near-zero adjustment while clearly modern or clearly dated homes receive a meaningful nudge.</w:t>
      </w:r>
    </w:p>
    <w:p w14:paraId="69DFB07F" w14:textId="77777777" w:rsidR="00506FCF" w:rsidRDefault="00000000">
      <w:pPr>
        <w:spacing w:before="120" w:after="40"/>
        <w:jc w:val="center"/>
      </w:pPr>
      <w:r>
        <w:rPr>
          <w:b/>
          <w:bCs/>
          <w:sz w:val="18"/>
          <w:szCs w:val="18"/>
        </w:rPr>
        <w:t>Table II.  CLIP Calibration Statistics (979 images, 39 states)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440"/>
      </w:tblGrid>
      <w:tr w:rsidR="00506FCF" w14:paraId="63433766" w14:textId="77777777">
        <w:tc>
          <w:tcPr>
            <w:tcW w:w="1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2F03F" w14:textId="77777777" w:rsidR="00506FCF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7813E" w14:textId="77777777" w:rsidR="00506FCF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244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617FE" w14:textId="77777777" w:rsidR="00506FCF" w:rsidRDefault="00000000"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506FCF" w14:paraId="683471D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132E0" w14:textId="77777777" w:rsidR="00506FCF" w:rsidRDefault="00000000">
            <w:r>
              <w:rPr>
                <w:b/>
                <w:bCs/>
                <w:sz w:val="18"/>
                <w:szCs w:val="18"/>
              </w:rPr>
              <w:t>n_samples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987A7" w14:textId="77777777" w:rsidR="00506FCF" w:rsidRDefault="00000000">
            <w:r>
              <w:rPr>
                <w:sz w:val="18"/>
                <w:szCs w:val="18"/>
              </w:rPr>
              <w:t>979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E80F" w14:textId="77777777" w:rsidR="00506FCF" w:rsidRDefault="00000000">
            <w:r>
              <w:rPr>
                <w:sz w:val="18"/>
                <w:szCs w:val="18"/>
              </w:rPr>
              <w:t>Images scored</w:t>
            </w:r>
          </w:p>
        </w:tc>
      </w:tr>
      <w:tr w:rsidR="00506FCF" w14:paraId="3D566EA9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068F9" w14:textId="77777777" w:rsidR="00506FCF" w:rsidRDefault="00000000">
            <w:r>
              <w:rPr>
                <w:b/>
                <w:bCs/>
                <w:sz w:val="18"/>
                <w:szCs w:val="18"/>
              </w:rPr>
              <w:t>Pearson corr.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7FBD1" w14:textId="77777777" w:rsidR="00506FCF" w:rsidRDefault="00000000">
            <w:r>
              <w:rPr>
                <w:sz w:val="18"/>
                <w:szCs w:val="18"/>
              </w:rPr>
              <w:t>+0.087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42EDB" w14:textId="77777777" w:rsidR="00506FCF" w:rsidRDefault="00000000">
            <w:r>
              <w:rPr>
                <w:sz w:val="18"/>
                <w:szCs w:val="18"/>
              </w:rPr>
              <w:t>Directionally correct</w:t>
            </w:r>
          </w:p>
        </w:tc>
      </w:tr>
      <w:tr w:rsidR="00506FCF" w14:paraId="79FEC54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020D6" w14:textId="77777777" w:rsidR="00506FCF" w:rsidRDefault="00000000">
            <w:r>
              <w:rPr>
                <w:b/>
                <w:bCs/>
                <w:sz w:val="18"/>
                <w:szCs w:val="18"/>
              </w:rPr>
              <w:t>R² (linear)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88A9C" w14:textId="77777777" w:rsidR="00506FCF" w:rsidRDefault="00000000">
            <w:r>
              <w:rPr>
                <w:sz w:val="18"/>
                <w:szCs w:val="18"/>
              </w:rPr>
              <w:t>−2.64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A467B" w14:textId="77777777" w:rsidR="00506FCF" w:rsidRDefault="00000000">
            <w:r>
              <w:rPr>
                <w:sz w:val="18"/>
                <w:szCs w:val="18"/>
              </w:rPr>
              <w:t>Fallback mode active</w:t>
            </w:r>
          </w:p>
        </w:tc>
      </w:tr>
      <w:tr w:rsidR="00506FCF" w14:paraId="608361A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34AE0" w14:textId="77777777" w:rsidR="00506FCF" w:rsidRDefault="00000000">
            <w:r>
              <w:rPr>
                <w:b/>
                <w:bCs/>
                <w:sz w:val="18"/>
                <w:szCs w:val="18"/>
              </w:rPr>
              <w:t>Score mean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C469F" w14:textId="77777777" w:rsidR="00506FCF" w:rsidRDefault="00000000">
            <w:r>
              <w:rPr>
                <w:sz w:val="18"/>
                <w:szCs w:val="18"/>
              </w:rPr>
              <w:t>0.0318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E1408" w14:textId="77777777" w:rsidR="00506FCF" w:rsidRDefault="00000000">
            <w:r>
              <w:rPr>
                <w:sz w:val="18"/>
                <w:szCs w:val="18"/>
              </w:rPr>
              <w:t>Neutral baseline</w:t>
            </w:r>
          </w:p>
        </w:tc>
      </w:tr>
      <w:tr w:rsidR="00506FCF" w14:paraId="7DB08539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723E8" w14:textId="77777777" w:rsidR="00506FCF" w:rsidRDefault="00000000">
            <w:r>
              <w:rPr>
                <w:b/>
                <w:bCs/>
                <w:sz w:val="18"/>
                <w:szCs w:val="18"/>
              </w:rPr>
              <w:t>Adj. ceiling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950FF" w14:textId="77777777" w:rsidR="00506FCF" w:rsidRDefault="00000000">
            <w:r>
              <w:rPr>
                <w:sz w:val="18"/>
                <w:szCs w:val="18"/>
              </w:rPr>
              <w:t>±15%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53F0C" w14:textId="77777777" w:rsidR="00506FCF" w:rsidRDefault="00000000">
            <w:r>
              <w:rPr>
                <w:sz w:val="18"/>
                <w:szCs w:val="18"/>
              </w:rPr>
              <w:t>Max log-price shift</w:t>
            </w:r>
          </w:p>
        </w:tc>
      </w:tr>
      <w:tr w:rsidR="00506FCF" w14:paraId="5B84898A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3E20D" w14:textId="77777777" w:rsidR="00506FCF" w:rsidRDefault="00000000">
            <w:r>
              <w:rPr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400C9" w14:textId="77777777" w:rsidR="00506FCF" w:rsidRDefault="00000000">
            <w:r>
              <w:rPr>
                <w:sz w:val="18"/>
                <w:szCs w:val="18"/>
              </w:rPr>
              <w:t>Centered fallback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F06CD" w14:textId="77777777" w:rsidR="00506FCF" w:rsidRDefault="00000000">
            <w:r>
              <w:rPr>
                <w:sz w:val="18"/>
                <w:szCs w:val="18"/>
              </w:rPr>
              <w:t>adj = 2.0×(score−mean)</w:t>
            </w:r>
          </w:p>
        </w:tc>
      </w:tr>
    </w:tbl>
    <w:p w14:paraId="069D4D47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IV. Results and Evaluation</w:t>
      </w:r>
    </w:p>
    <w:p w14:paraId="5BAA4B3F" w14:textId="77777777" w:rsidR="00506FCF" w:rsidRDefault="00000000">
      <w:pPr>
        <w:spacing w:before="100" w:after="60"/>
      </w:pPr>
      <w:r>
        <w:rPr>
          <w:b/>
          <w:bCs/>
        </w:rPr>
        <w:t>A. Evaluation Protocol</w:t>
      </w:r>
    </w:p>
    <w:p w14:paraId="2F15A168" w14:textId="77777777" w:rsidR="00506FCF" w:rsidRDefault="00000000">
      <w:pPr>
        <w:spacing w:after="80"/>
        <w:jc w:val="both"/>
      </w:pPr>
      <w:r>
        <w:t>The structured model was evaluated on a stratified sample of 8,445 homes drawn from the held-out 20% test split, balanced across state × price tier strata (approximately 40 homes per stratum). This design ensures fair geographic and price-range coverage rather than over-representing the dense $100–300k segment.</w:t>
      </w:r>
    </w:p>
    <w:p w14:paraId="6BDDCD5F" w14:textId="77777777" w:rsidR="00506FCF" w:rsidRDefault="00000000">
      <w:pPr>
        <w:spacing w:before="100" w:after="60"/>
      </w:pPr>
      <w:r>
        <w:rPr>
          <w:b/>
          <w:bCs/>
        </w:rPr>
        <w:t>B. Overall Performance</w:t>
      </w:r>
    </w:p>
    <w:p w14:paraId="371CB75D" w14:textId="120DA321" w:rsidR="00506FCF" w:rsidRDefault="00000000">
      <w:pPr>
        <w:spacing w:after="80"/>
        <w:jc w:val="both"/>
      </w:pPr>
      <w:r>
        <w:t>Table III reports per-tier accuracy. The gap between mean MAPE (42.1%) and median APE (28.3%) reveals a right-skewed error distribution: most predictions are accurate, but a tail of distressed sales in the $0–300k tier pulls the mean upward. The mid-market tier ($300–600k) achieves 28.8% MAPE</w:t>
      </w:r>
      <w:r w:rsidR="00292FC0">
        <w:t xml:space="preserve">, </w:t>
      </w:r>
      <w:r>
        <w:t>the model's strongest segment</w:t>
      </w:r>
      <w:r w:rsidR="00292FC0">
        <w:t xml:space="preserve">, </w:t>
      </w:r>
      <w:r>
        <w:t>consistent with the training data density in that range.</w:t>
      </w:r>
    </w:p>
    <w:p w14:paraId="63B33C61" w14:textId="77777777" w:rsidR="00506FCF" w:rsidRDefault="00000000">
      <w:pPr>
        <w:spacing w:before="120" w:after="40"/>
        <w:jc w:val="center"/>
      </w:pPr>
      <w:r>
        <w:rPr>
          <w:b/>
          <w:bCs/>
          <w:sz w:val="18"/>
          <w:szCs w:val="18"/>
        </w:rPr>
        <w:t>Table III.  Structured Model MAPE by Price Tier (n ≈ 2,100 per tier)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1040"/>
        <w:gridCol w:w="1300"/>
        <w:gridCol w:w="1340"/>
      </w:tblGrid>
      <w:tr w:rsidR="00506FCF" w14:paraId="67CDA776" w14:textId="77777777">
        <w:tc>
          <w:tcPr>
            <w:tcW w:w="136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04E05" w14:textId="77777777" w:rsidR="00506FC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Price Tier</w:t>
            </w:r>
          </w:p>
        </w:tc>
        <w:tc>
          <w:tcPr>
            <w:tcW w:w="104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E0E86" w14:textId="77777777" w:rsidR="00506FC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MAPE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01C7E" w14:textId="77777777" w:rsidR="00506FC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Med. APE</w:t>
            </w:r>
          </w:p>
        </w:tc>
        <w:tc>
          <w:tcPr>
            <w:tcW w:w="134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20A9B" w14:textId="77777777" w:rsidR="00506FC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</w:tr>
      <w:tr w:rsidR="00506FCF" w14:paraId="0E1A449A" w14:textId="77777777"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E3AD3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$0–300k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38C23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69.2%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41299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36.8%</w:t>
            </w:r>
          </w:p>
        </w:tc>
        <w:tc>
          <w:tcPr>
            <w:tcW w:w="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A6965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2,148</w:t>
            </w:r>
          </w:p>
        </w:tc>
      </w:tr>
      <w:tr w:rsidR="00506FCF" w14:paraId="5032E770" w14:textId="77777777"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673A1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$300–600k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EBD5A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28.8%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32C0A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21.1%</w:t>
            </w:r>
          </w:p>
        </w:tc>
        <w:tc>
          <w:tcPr>
            <w:tcW w:w="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D6FB1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2,145</w:t>
            </w:r>
          </w:p>
        </w:tc>
      </w:tr>
      <w:tr w:rsidR="00506FCF" w14:paraId="2BC58166" w14:textId="77777777"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5A38E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$600k–1M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05FB1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31.0%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3F2BA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24.6%</w:t>
            </w:r>
          </w:p>
        </w:tc>
        <w:tc>
          <w:tcPr>
            <w:tcW w:w="1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392D9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2,105</w:t>
            </w:r>
          </w:p>
        </w:tc>
      </w:tr>
      <w:tr w:rsidR="00506FCF" w14:paraId="075742E3" w14:textId="77777777"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1F58E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$1M+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617B7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39.2%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873C3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35.4%</w:t>
            </w:r>
          </w:p>
        </w:tc>
        <w:tc>
          <w:tcPr>
            <w:tcW w:w="1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DE717" w14:textId="77777777" w:rsidR="00506FCF" w:rsidRDefault="00000000">
            <w:pPr>
              <w:jc w:val="center"/>
            </w:pPr>
            <w:r>
              <w:rPr>
                <w:sz w:val="18"/>
                <w:szCs w:val="18"/>
              </w:rPr>
              <w:t>2,047</w:t>
            </w:r>
          </w:p>
        </w:tc>
      </w:tr>
    </w:tbl>
    <w:p w14:paraId="39ADB6A9" w14:textId="77777777" w:rsidR="00506FC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B56C474" wp14:editId="0ABB5EF9">
            <wp:extent cx="3305175" cy="1857375"/>
            <wp:effectExtent l="0" t="0" r="0" b="0"/>
            <wp:docPr id="1" name="Figure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5413" w14:textId="77777777" w:rsidR="00506FCF" w:rsidRDefault="00000000">
      <w:pPr>
        <w:spacing w:before="40" w:after="120"/>
        <w:jc w:val="center"/>
      </w:pPr>
      <w:r>
        <w:rPr>
          <w:sz w:val="18"/>
          <w:szCs w:val="18"/>
        </w:rPr>
        <w:t>Fig. 1.  MAPE and Median APE by price tier.</w:t>
      </w:r>
    </w:p>
    <w:p w14:paraId="76B73F35" w14:textId="77777777" w:rsidR="00506FCF" w:rsidRDefault="00000000">
      <w:pPr>
        <w:spacing w:before="100" w:after="60"/>
      </w:pPr>
      <w:r>
        <w:rPr>
          <w:b/>
          <w:bCs/>
        </w:rPr>
        <w:t>C. Performance by State</w:t>
      </w:r>
    </w:p>
    <w:p w14:paraId="6F00BA14" w14:textId="77777777" w:rsidR="00506FCF" w:rsidRDefault="00000000">
      <w:pPr>
        <w:spacing w:after="80"/>
        <w:jc w:val="both"/>
      </w:pPr>
      <w:r>
        <w:t>Fig. 2 shows per-state accuracy for the 20 highest-sample states (160 homes each, stratified by price tier). Three performance tiers emerge: six states below 35% MAPE (Arizona 28.8%, Kansas 31.1%, Illinois 31.4%, Maryland 32.6%), nine states in the 35–45% range, and five states above 45% (Maine 45.4%, DC 46.4%, Florida 51.8%, Hawaii 54.5%, California 54.5%).</w:t>
      </w:r>
    </w:p>
    <w:p w14:paraId="09EF8BC7" w14:textId="3BD31723" w:rsidR="00506FCF" w:rsidRDefault="00000000">
      <w:pPr>
        <w:spacing w:after="80"/>
        <w:ind w:firstLine="360"/>
        <w:jc w:val="both"/>
      </w:pPr>
      <w:r>
        <w:t>California's high MAPE despite being the most-represented state reflects extreme within-state price variance: a 3-bedroom home in San Jose commands $1.2M while the same footprint in Fresno sells for $350k. DC's high MAPE (46.4%) with a low median APE (25.2%) indicates a bimodal error distribution</w:t>
      </w:r>
      <w:r w:rsidR="001B7B87">
        <w:t xml:space="preserve">, </w:t>
      </w:r>
      <w:r>
        <w:t>most predictions are accurate but a tail of high-value Capitol Hill townhouses creates large outlier errors.</w:t>
      </w:r>
    </w:p>
    <w:p w14:paraId="45D2042B" w14:textId="77777777" w:rsidR="00506FC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1373F36" wp14:editId="4F80E2C4">
            <wp:extent cx="3305175" cy="2676525"/>
            <wp:effectExtent l="0" t="0" r="0" b="0"/>
            <wp:docPr id="1580583374" name="Figure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CC46" w14:textId="77777777" w:rsidR="00506FCF" w:rsidRDefault="00000000">
      <w:pPr>
        <w:spacing w:before="40" w:after="120"/>
        <w:jc w:val="center"/>
      </w:pPr>
      <w:r>
        <w:rPr>
          <w:sz w:val="18"/>
          <w:szCs w:val="18"/>
        </w:rPr>
        <w:t>Fig. 2.  Structured model MAPE by state, color-coded by performance tier.</w:t>
      </w:r>
    </w:p>
    <w:p w14:paraId="2B076D6D" w14:textId="77777777" w:rsidR="00506FCF" w:rsidRDefault="00000000">
      <w:pPr>
        <w:spacing w:before="100" w:after="60"/>
      </w:pPr>
      <w:r>
        <w:rPr>
          <w:b/>
          <w:bCs/>
        </w:rPr>
        <w:t>D. Full-Pipeline Validation</w:t>
      </w:r>
    </w:p>
    <w:p w14:paraId="56FDB9D3" w14:textId="68A393EE" w:rsidR="00506FCF" w:rsidRDefault="00000000">
      <w:pPr>
        <w:spacing w:after="80"/>
        <w:jc w:val="both"/>
      </w:pPr>
      <w:r>
        <w:t>Table IV summarizes the primary full-pipeline validation case. The structured model alone predicted approximately $370,000 (∳60% error) for a 2,552 sqft home in a premium Maryland suburb. Outlier detection fired when RentCast AVM ($920,000) and zip market stats ($950,000 implied) both diverged from the structured prediction by more than 0.42 log units while agreeing with each other. A +23% premium boost was applied. Three uploaded interior photos contributed a CLIP condition adjustment of +2%, yielding a final prediction of $929,592</w:t>
      </w:r>
      <w:r w:rsidR="00292FC0">
        <w:t xml:space="preserve">, </w:t>
      </w:r>
      <w:r>
        <w:t xml:space="preserve"> 0.15% below the actual $931,000 sale price.</w:t>
      </w:r>
    </w:p>
    <w:p w14:paraId="5ECEBB94" w14:textId="77777777" w:rsidR="00506FCF" w:rsidRDefault="00000000">
      <w:pPr>
        <w:spacing w:before="120" w:after="40"/>
        <w:jc w:val="center"/>
      </w:pPr>
      <w:r>
        <w:rPr>
          <w:b/>
          <w:bCs/>
          <w:sz w:val="18"/>
          <w:szCs w:val="18"/>
        </w:rPr>
        <w:t>Table IV.  Full-Pipeline Validation on Known Sold Home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40"/>
      </w:tblGrid>
      <w:tr w:rsidR="00506FCF" w14:paraId="7AA5F52E" w14:textId="77777777">
        <w:tc>
          <w:tcPr>
            <w:tcW w:w="1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EF422" w14:textId="77777777" w:rsidR="00506FCF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364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88E40" w14:textId="77777777" w:rsidR="00506FCF" w:rsidRDefault="00000000">
            <w:r>
              <w:rPr>
                <w:b/>
                <w:bCs/>
                <w:sz w:val="18"/>
                <w:szCs w:val="18"/>
              </w:rPr>
              <w:t>Detail</w:t>
            </w:r>
          </w:p>
        </w:tc>
      </w:tr>
      <w:tr w:rsidR="00506FCF" w14:paraId="48AE567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BCDF0" w14:textId="77777777" w:rsidR="00506FCF" w:rsidRDefault="00000000">
            <w:r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3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83D23" w14:textId="77777777" w:rsidR="00506FCF" w:rsidRDefault="00000000">
            <w:r>
              <w:rPr>
                <w:sz w:val="18"/>
                <w:szCs w:val="18"/>
              </w:rPr>
              <w:t>Olney, MD — 4bd / 3ba / 2,552 sqft</w:t>
            </w:r>
          </w:p>
        </w:tc>
      </w:tr>
      <w:tr w:rsidR="00506FCF" w14:paraId="098DAFB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7B253" w14:textId="77777777" w:rsidR="00506FCF" w:rsidRDefault="00000000">
            <w:r>
              <w:rPr>
                <w:b/>
                <w:bCs/>
                <w:sz w:val="18"/>
                <w:szCs w:val="18"/>
              </w:rPr>
              <w:t>Actual Price</w:t>
            </w:r>
          </w:p>
        </w:tc>
        <w:tc>
          <w:tcPr>
            <w:tcW w:w="3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1029A" w14:textId="77777777" w:rsidR="00506FCF" w:rsidRDefault="00000000">
            <w:r>
              <w:rPr>
                <w:sz w:val="18"/>
                <w:szCs w:val="18"/>
              </w:rPr>
              <w:t>$931,000</w:t>
            </w:r>
          </w:p>
        </w:tc>
      </w:tr>
      <w:tr w:rsidR="00506FCF" w14:paraId="454AC00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B4DFC" w14:textId="77777777" w:rsidR="00506FCF" w:rsidRDefault="00000000">
            <w:r>
              <w:rPr>
                <w:b/>
                <w:bCs/>
                <w:sz w:val="18"/>
                <w:szCs w:val="18"/>
              </w:rPr>
              <w:t>Predicted</w:t>
            </w:r>
          </w:p>
        </w:tc>
        <w:tc>
          <w:tcPr>
            <w:tcW w:w="3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B871A" w14:textId="77777777" w:rsidR="00506FCF" w:rsidRDefault="00000000">
            <w:r>
              <w:rPr>
                <w:sz w:val="18"/>
                <w:szCs w:val="18"/>
              </w:rPr>
              <w:t>$929,592</w:t>
            </w:r>
          </w:p>
        </w:tc>
      </w:tr>
      <w:tr w:rsidR="00506FCF" w14:paraId="01004B40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555E8" w14:textId="77777777" w:rsidR="00506FCF" w:rsidRDefault="00000000">
            <w:r>
              <w:rPr>
                <w:b/>
                <w:bCs/>
                <w:sz w:val="18"/>
                <w:szCs w:val="18"/>
              </w:rPr>
              <w:t>Error</w:t>
            </w:r>
          </w:p>
        </w:tc>
        <w:tc>
          <w:tcPr>
            <w:tcW w:w="3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D9A2B" w14:textId="77777777" w:rsidR="00506FCF" w:rsidRDefault="00000000">
            <w:r>
              <w:rPr>
                <w:sz w:val="18"/>
                <w:szCs w:val="18"/>
              </w:rPr>
              <w:t>0.15%</w:t>
            </w:r>
          </w:p>
        </w:tc>
      </w:tr>
      <w:tr w:rsidR="00506FCF" w14:paraId="1A4E4FB7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391BF" w14:textId="77777777" w:rsidR="00506FCF" w:rsidRDefault="00000000">
            <w:r>
              <w:rPr>
                <w:b/>
                <w:bCs/>
                <w:sz w:val="18"/>
                <w:szCs w:val="18"/>
              </w:rPr>
              <w:t>Signals</w:t>
            </w:r>
          </w:p>
        </w:tc>
        <w:tc>
          <w:tcPr>
            <w:tcW w:w="3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B0868" w14:textId="77777777" w:rsidR="00506FCF" w:rsidRDefault="00000000">
            <w:r>
              <w:rPr>
                <w:sz w:val="18"/>
                <w:szCs w:val="18"/>
              </w:rPr>
              <w:t>Structured + AVM + Market + CLIP (3 photos)</w:t>
            </w:r>
          </w:p>
        </w:tc>
      </w:tr>
      <w:tr w:rsidR="00506FCF" w14:paraId="16F554D4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E71D" w14:textId="77777777" w:rsidR="00506FCF" w:rsidRDefault="0000000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36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30FE3" w14:textId="77777777" w:rsidR="00506FCF" w:rsidRDefault="00000000">
            <w:r>
              <w:rPr>
                <w:sz w:val="18"/>
                <w:szCs w:val="18"/>
              </w:rPr>
              <w:t>Outlier detection; +23% premium boost applied</w:t>
            </w:r>
          </w:p>
        </w:tc>
      </w:tr>
    </w:tbl>
    <w:p w14:paraId="5CC408EE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V. Conclusion and Future Work</w:t>
      </w:r>
    </w:p>
    <w:p w14:paraId="679769FA" w14:textId="77777777" w:rsidR="00506FCF" w:rsidRDefault="00000000">
      <w:pPr>
        <w:spacing w:after="80"/>
        <w:jc w:val="both"/>
      </w:pPr>
      <w:r>
        <w:t>This project demonstrates that multi-signal stacking dramatically improves housing price prediction accuracy over any single-model baseline. The XGBoost structured model provides a solid national baseline (28.3% median MAPE on 8,445 held-out homes). Blending RentCast AVM and zip market stats with geography-aware weights and outlier detection reduces premium market error from approximately 60% to under 1% on tested sold homes. CLIP zero-shot condition scoring adds a semantically grounded visual adjustment without any labeled training images.</w:t>
      </w:r>
    </w:p>
    <w:p w14:paraId="36C97BA8" w14:textId="77777777" w:rsidR="00506FCF" w:rsidRDefault="00000000">
      <w:pPr>
        <w:spacing w:after="80"/>
        <w:ind w:firstLine="360"/>
        <w:jc w:val="both"/>
      </w:pPr>
      <w:r>
        <w:t>Several limitations remain. The $0–300k tier MAPE of 69.2% is driven by distressed sales and data quality issues rather than model failure; filtering training data to $50k+ would likely improve this tier significantly. The CLIP calibration operates in fallback mode (R² &lt; 0) because only 89 multi-state images were available; collecting 200+ additional images via the Realty In US API (411 calls remaining) may yield a positive R² and a reliable fitted slope. Zillow AVM integration was removed because the Scraper API consistently returned wrong-state results; a paid API tier would substantially improve accuracy above $600k.</w:t>
      </w:r>
    </w:p>
    <w:p w14:paraId="6A999BB8" w14:textId="77777777" w:rsidR="00506FCF" w:rsidRDefault="00000000">
      <w:pPr>
        <w:spacing w:after="80"/>
        <w:ind w:firstLine="360"/>
        <w:jc w:val="both"/>
      </w:pPr>
      <w:r>
        <w:t>Future improvements include: filtering the training floor to $50k+; adding latitude and longitude features for finer within-city geographic resolution; collecting more CLIP calibration images; state-specific XGBoost fine-tuning for CA, FL, and HI; and integrating a verified Zillow AVM endpoint.</w:t>
      </w:r>
    </w:p>
    <w:p w14:paraId="21F7CAD2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VI. Contribution Statement and Peer Evaluation</w:t>
      </w:r>
    </w:p>
    <w:p w14:paraId="3A2CA01F" w14:textId="77777777" w:rsidR="00506FCF" w:rsidRDefault="00000000">
      <w:pPr>
        <w:spacing w:before="100" w:after="60"/>
      </w:pPr>
      <w:r>
        <w:rPr>
          <w:b/>
          <w:bCs/>
        </w:rPr>
        <w:t>A. Contribution Statement</w:t>
      </w:r>
    </w:p>
    <w:p w14:paraId="5D07AA30" w14:textId="77777777" w:rsidR="00506FCF" w:rsidRDefault="00000000">
      <w:pPr>
        <w:spacing w:after="80"/>
        <w:jc w:val="both"/>
      </w:pPr>
      <w:r>
        <w:t xml:space="preserve">Brantson Bui designed and implemented the full XGBoost structured model including feature engineering, hyperparameter tuning, and CUDA-accelerated training. </w:t>
      </w:r>
      <w:r>
        <w:lastRenderedPageBreak/>
        <w:t>Brantson led the development of the multi-signal blending framework, the outlier detection and premium boost logic, and the CLIP zero-shot condition scoring pipeline. Brantson built and deployed the Streamlit web application and conducted the full-pipeline real-world validation.</w:t>
      </w:r>
    </w:p>
    <w:p w14:paraId="0A18E6FB" w14:textId="12296062" w:rsidR="00506FCF" w:rsidRDefault="00000000">
      <w:pPr>
        <w:spacing w:after="80"/>
        <w:ind w:firstLine="360"/>
        <w:jc w:val="both"/>
      </w:pPr>
      <w:r>
        <w:t xml:space="preserve">Hanru Li led data collection and preprocessing, including merging the Kaggle structured dataset with the Zillow-scraped supplement and the Realty in US API image corpus. Hanru </w:t>
      </w:r>
      <w:r>
        <w:t>designed and executed the stratified batch evaluation framework, produced the per-tier and per-state accuracy analyses, and generated the evaluation figures included in this report.</w:t>
      </w:r>
    </w:p>
    <w:p w14:paraId="7861E21A" w14:textId="77777777" w:rsidR="00506FCF" w:rsidRDefault="00000000">
      <w:pPr>
        <w:spacing w:after="80"/>
        <w:ind w:firstLine="360"/>
        <w:jc w:val="both"/>
      </w:pPr>
      <w:r>
        <w:t>Figs. 3 and 4 below show the technical development timeline and the per-member contribution schedule across the project semester.</w:t>
      </w:r>
    </w:p>
    <w:p w14:paraId="5E2C051E" w14:textId="77777777" w:rsidR="00506FCF" w:rsidRDefault="00506FCF">
      <w:pPr>
        <w:sectPr w:rsidR="00506FCF">
          <w:type w:val="continuous"/>
          <w:pgSz w:w="12240" w:h="15840"/>
          <w:pgMar w:top="1080" w:right="900" w:bottom="1440" w:left="900" w:header="708" w:footer="708" w:gutter="0"/>
          <w:cols w:num="2" w:space="360"/>
          <w:docGrid w:linePitch="360"/>
        </w:sectPr>
      </w:pPr>
    </w:p>
    <w:p w14:paraId="59CD2B89" w14:textId="77777777" w:rsidR="00506FC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E88657A" wp14:editId="71A9BEDA">
            <wp:extent cx="6896100" cy="3002608"/>
            <wp:effectExtent l="0" t="0" r="0" b="0"/>
            <wp:docPr id="800412290" name="Fig3" descr="Gantt chart" title="Technical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00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063B" w14:textId="77777777" w:rsidR="00506FCF" w:rsidRDefault="00000000">
      <w:pPr>
        <w:spacing w:before="40" w:after="120"/>
        <w:jc w:val="center"/>
      </w:pPr>
      <w:r>
        <w:rPr>
          <w:sz w:val="18"/>
          <w:szCs w:val="18"/>
        </w:rPr>
        <w:t>Fig. 3.  Technical development timeline (January – April 2026). Diamond markers denote key milestones.</w:t>
      </w:r>
    </w:p>
    <w:p w14:paraId="7B57C8A4" w14:textId="77777777" w:rsidR="00506FCF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80BA09E" wp14:editId="111D84C6">
            <wp:extent cx="6896100" cy="2801971"/>
            <wp:effectExtent l="0" t="0" r="0" b="0"/>
            <wp:docPr id="2096363130" name="Fig4" descr="Contribution timeline" title="PM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280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3928" w14:textId="77777777" w:rsidR="00506FCF" w:rsidRDefault="00000000">
      <w:pPr>
        <w:spacing w:before="40" w:after="120"/>
        <w:jc w:val="center"/>
      </w:pPr>
      <w:r>
        <w:rPr>
          <w:sz w:val="18"/>
          <w:szCs w:val="18"/>
        </w:rPr>
        <w:t>Fig. 4.  Project management timeline showing task ownership by member. Shared tasks (yellow) were completed collaboratively.</w:t>
      </w:r>
    </w:p>
    <w:p w14:paraId="69D29DDA" w14:textId="77777777" w:rsidR="00506FCF" w:rsidRDefault="00506FCF">
      <w:pPr>
        <w:sectPr w:rsidR="00506FCF">
          <w:type w:val="continuous"/>
          <w:pgSz w:w="12240" w:h="15840"/>
          <w:pgMar w:top="1080" w:right="900" w:bottom="1440" w:left="900" w:header="708" w:footer="708" w:gutter="0"/>
          <w:cols w:space="720"/>
          <w:docGrid w:linePitch="360"/>
        </w:sectPr>
      </w:pPr>
    </w:p>
    <w:p w14:paraId="4FFEAACE" w14:textId="77777777" w:rsidR="00506FCF" w:rsidRDefault="00000000">
      <w:pPr>
        <w:spacing w:before="100" w:after="60"/>
      </w:pPr>
      <w:r>
        <w:rPr>
          <w:b/>
          <w:bCs/>
        </w:rPr>
        <w:t>B. Peer Evaluation</w:t>
      </w:r>
    </w:p>
    <w:p w14:paraId="77EB8F47" w14:textId="77777777" w:rsidR="00506FCF" w:rsidRDefault="00000000">
      <w:pPr>
        <w:spacing w:after="80"/>
        <w:jc w:val="both"/>
      </w:pPr>
      <w:r>
        <w:t>Both team members contributed substantially and equitably to the project. Collaboration was effective throughout: design decisions were made jointly, code was reviewed by both partners, and written deliverables were edited collaboratively.</w:t>
      </w:r>
    </w:p>
    <w:p w14:paraId="22E48CF5" w14:textId="77777777" w:rsidR="00506FCF" w:rsidRDefault="00000000">
      <w:pPr>
        <w:spacing w:before="80" w:after="40"/>
      </w:pPr>
      <w:r>
        <w:rPr>
          <w:b/>
          <w:bCs/>
        </w:rPr>
        <w:t xml:space="preserve">Brantson Bui’s evaluation of Hanru Li: </w:t>
      </w:r>
      <w:r>
        <w:t>5 / 5. Hanru delivered reliable, clean data pipelines and rigorous evaluation code that made the quantitative results in this paper possible. Proactive communication and consistently met deadlines.</w:t>
      </w:r>
    </w:p>
    <w:p w14:paraId="350057B7" w14:textId="77777777" w:rsidR="00506FCF" w:rsidRDefault="00000000">
      <w:pPr>
        <w:spacing w:before="40" w:after="80"/>
      </w:pPr>
      <w:r>
        <w:rPr>
          <w:b/>
          <w:bCs/>
        </w:rPr>
        <w:lastRenderedPageBreak/>
        <w:t xml:space="preserve">Hanru Li’s evaluation of Brantson Bui: </w:t>
      </w:r>
      <w:r>
        <w:t>5 / 5. Brantson architected the core model pipeline, integrated all three signals, and built the application. Technical leadership and attention to detail were exceptional throughout the project.</w:t>
      </w:r>
    </w:p>
    <w:p w14:paraId="6931D09C" w14:textId="77777777" w:rsidR="00506FCF" w:rsidRDefault="00000000">
      <w:pPr>
        <w:spacing w:before="160" w:after="80"/>
        <w:jc w:val="center"/>
      </w:pPr>
      <w:r>
        <w:rPr>
          <w:b/>
          <w:bCs/>
          <w:smallCaps/>
        </w:rPr>
        <w:t>References</w:t>
      </w:r>
    </w:p>
    <w:p w14:paraId="371CD54D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[1] S. Malpezzi, “A Simple Error Correction Model of House Prices,” Journal of Housing Economics, 1999.</w:t>
      </w:r>
    </w:p>
    <w:p w14:paraId="682FC2A3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[2] K. C. Sirmans, D. A. Macpherson, and E. N. Zietz, “The Composition of Hedonic Pricing Models,” Journal of Real Estate Literature, 2005.</w:t>
      </w:r>
    </w:p>
    <w:p w14:paraId="0B4AD4FD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[3] Zillow, “Zestimate Accuracy,” zillow.com/zestimate, 2024.</w:t>
      </w:r>
    </w:p>
    <w:p w14:paraId="50D9A55B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[4] T. Chen and C. Guestrin, “XGBoost: A Scalable Tree Boosting System,” in Proc. ACM KDD, 2016.</w:t>
      </w:r>
    </w:p>
    <w:p w14:paraId="48A97DC8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[5] J. Antipov and E. B. Pokryshevskaya, “Mass appraisal of residential apartments: An application of Random forest for valuation and a CART-based approach for model diagnostics,” Expert Systems with Applications, 2012.</w:t>
      </w:r>
    </w:p>
    <w:p w14:paraId="294B46D0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[6] M. Ceh, M. Kilibarda, A. Lisec, and B. Bajat, “Predicting the price of real estate with machine learning algorithms,” ISPRS Annals, 2018.</w:t>
      </w:r>
    </w:p>
    <w:p w14:paraId="47E85548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[7] A. Poursaeed, T. Matera, and S. Belongie, “Vision-based real estate price estimation,” Machine Vision and Applications, 2018.</w:t>
      </w:r>
    </w:p>
    <w:p w14:paraId="371C7C14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[8] A. Radford et al., “Learning Transferable Visual Models From Natural Language Supervision,” in Proc. ICML, 2021.</w:t>
      </w:r>
    </w:p>
    <w:p w14:paraId="5AD0EBB2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[9] O. Poursaeed, T. Matera, and S. Belongie, “Scalable Real Estate Price Estimation,” arXiv:1803.08928, 2018.</w:t>
      </w:r>
    </w:p>
    <w:p w14:paraId="1BEF031A" w14:textId="77777777" w:rsidR="00506FCF" w:rsidRDefault="00000000">
      <w:pPr>
        <w:spacing w:after="60"/>
        <w:ind w:left="360" w:hanging="360"/>
      </w:pPr>
      <w:r>
        <w:rPr>
          <w:sz w:val="18"/>
          <w:szCs w:val="18"/>
        </w:rPr>
        <w:t>[10] Y. You, Z. Wang, and A. Smola, “Real Estate Price Prediction via Visual and Textual Features,” NeurIPS Workshop, 2017.</w:t>
      </w:r>
    </w:p>
    <w:sectPr w:rsidR="00506FCF">
      <w:type w:val="continuous"/>
      <w:pgSz w:w="12240" w:h="15840"/>
      <w:pgMar w:top="1080" w:right="900" w:bottom="1440" w:left="90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24E54"/>
    <w:multiLevelType w:val="hybridMultilevel"/>
    <w:tmpl w:val="32DC7296"/>
    <w:lvl w:ilvl="0" w:tplc="4D669B82">
      <w:start w:val="1"/>
      <w:numFmt w:val="bullet"/>
      <w:lvlText w:val="●"/>
      <w:lvlJc w:val="left"/>
      <w:pPr>
        <w:ind w:left="720" w:hanging="360"/>
      </w:pPr>
    </w:lvl>
    <w:lvl w:ilvl="1" w:tplc="5A166158">
      <w:start w:val="1"/>
      <w:numFmt w:val="bullet"/>
      <w:lvlText w:val="○"/>
      <w:lvlJc w:val="left"/>
      <w:pPr>
        <w:ind w:left="1440" w:hanging="360"/>
      </w:pPr>
    </w:lvl>
    <w:lvl w:ilvl="2" w:tplc="E6F007B8">
      <w:start w:val="1"/>
      <w:numFmt w:val="bullet"/>
      <w:lvlText w:val="■"/>
      <w:lvlJc w:val="left"/>
      <w:pPr>
        <w:ind w:left="2160" w:hanging="360"/>
      </w:pPr>
    </w:lvl>
    <w:lvl w:ilvl="3" w:tplc="61289A36">
      <w:start w:val="1"/>
      <w:numFmt w:val="bullet"/>
      <w:lvlText w:val="●"/>
      <w:lvlJc w:val="left"/>
      <w:pPr>
        <w:ind w:left="2880" w:hanging="360"/>
      </w:pPr>
    </w:lvl>
    <w:lvl w:ilvl="4" w:tplc="B600B48E">
      <w:start w:val="1"/>
      <w:numFmt w:val="bullet"/>
      <w:lvlText w:val="○"/>
      <w:lvlJc w:val="left"/>
      <w:pPr>
        <w:ind w:left="3600" w:hanging="360"/>
      </w:pPr>
    </w:lvl>
    <w:lvl w:ilvl="5" w:tplc="37EA618E">
      <w:start w:val="1"/>
      <w:numFmt w:val="bullet"/>
      <w:lvlText w:val="■"/>
      <w:lvlJc w:val="left"/>
      <w:pPr>
        <w:ind w:left="4320" w:hanging="360"/>
      </w:pPr>
    </w:lvl>
    <w:lvl w:ilvl="6" w:tplc="0EB4561E">
      <w:start w:val="1"/>
      <w:numFmt w:val="bullet"/>
      <w:lvlText w:val="●"/>
      <w:lvlJc w:val="left"/>
      <w:pPr>
        <w:ind w:left="5040" w:hanging="360"/>
      </w:pPr>
    </w:lvl>
    <w:lvl w:ilvl="7" w:tplc="23BA175E">
      <w:start w:val="1"/>
      <w:numFmt w:val="bullet"/>
      <w:lvlText w:val="●"/>
      <w:lvlJc w:val="left"/>
      <w:pPr>
        <w:ind w:left="5760" w:hanging="360"/>
      </w:pPr>
    </w:lvl>
    <w:lvl w:ilvl="8" w:tplc="C5EA1600">
      <w:start w:val="1"/>
      <w:numFmt w:val="bullet"/>
      <w:lvlText w:val="●"/>
      <w:lvlJc w:val="left"/>
      <w:pPr>
        <w:ind w:left="6480" w:hanging="360"/>
      </w:pPr>
    </w:lvl>
  </w:abstractNum>
  <w:num w:numId="1" w16cid:durableId="1706711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FCF"/>
    <w:rsid w:val="001B7B87"/>
    <w:rsid w:val="00292FC0"/>
    <w:rsid w:val="002935FE"/>
    <w:rsid w:val="00506FCF"/>
    <w:rsid w:val="008853A7"/>
    <w:rsid w:val="00D7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64C2"/>
  <w15:docId w15:val="{534B52B8-DA05-4D1A-9658-A238497C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2444</Words>
  <Characters>13937</Characters>
  <Application>Microsoft Office Word</Application>
  <DocSecurity>0</DocSecurity>
  <Lines>116</Lines>
  <Paragraphs>32</Paragraphs>
  <ScaleCrop>false</ScaleCrop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brantson bui</cp:lastModifiedBy>
  <cp:revision>4</cp:revision>
  <dcterms:created xsi:type="dcterms:W3CDTF">2026-04-23T19:28:00Z</dcterms:created>
  <dcterms:modified xsi:type="dcterms:W3CDTF">2026-04-23T20:21:00Z</dcterms:modified>
</cp:coreProperties>
</file>