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Kynda × Brown — Pitch Architecture</w:t>
      </w:r>
    </w:p>
    <w:p>
      <w:pPr>
        <w:spacing w:after="120"/>
      </w:pPr>
      <w:r>
        <w:rPr>
          <w:rFonts w:ascii="Arial" w:cs="Arial" w:eastAsia="Arial" w:hAnsi="Arial"/>
          <w:i/>
          <w:iCs/>
          <w:color w:val="666666"/>
          <w:sz w:val="22"/>
          <w:szCs w:val="22"/>
        </w:rPr>
        <w:t xml:space="preserve">Working draft for Meagan's review · Tony Brancato with Kynda · August 7, 2026</w:t>
      </w:r>
    </w:p>
    <w:p>
      <w:pPr>
        <w:spacing w:after="120"/>
      </w:pPr>
      <w:r>
        <w:rPr>
          <w:rFonts w:ascii="Arial" w:cs="Arial" w:eastAsia="Arial" w:hAnsi="Arial"/>
          <w:color w:val="666666"/>
          <w:sz w:val="18"/>
          <w:szCs w:val="18"/>
        </w:rPr>
        <w:t xml:space="preserve">Sources: the live product, PITCH.md working notes, the 2024 Influence Project deck, and the pitch-strategy sessions of Aug 6–7. Everything here is Tony's thinking unless marked as Kynda's note.</w:t>
      </w:r>
    </w:p>
    <w:p>
      <w:pPr>
        <w:pStyle w:val="Heading1"/>
        <w:spacing w:after="120" w:before="280"/>
      </w:pPr>
      <w:r>
        <w:rPr>
          <w:rFonts w:ascii="Arial" w:cs="Arial" w:eastAsia="Arial" w:hAnsi="Arial"/>
          <w:b/>
          <w:bCs/>
          <w:sz w:val="28"/>
          <w:szCs w:val="28"/>
        </w:rPr>
        <w:t xml:space="preserve">1. Where we stand</w:t>
      </w:r>
    </w:p>
    <w:p>
      <w:pPr>
        <w:spacing w:after="120"/>
      </w:pPr>
      <w:r>
        <w:rPr>
          <w:rFonts w:ascii="Arial" w:cs="Arial" w:eastAsia="Arial" w:hAnsi="Arial"/>
          <w:sz w:val="22"/>
          <w:szCs w:val="22"/>
        </w:rPr>
        <w:t xml:space="preserve">Sydney Skybetter (Director, Brown Arts Institute) reviewed the three demo pages built for his challenge subjects — </w:t>
      </w:r>
      <w:r>
        <w:rPr>
          <w:rFonts w:ascii="Arial" w:cs="Arial" w:eastAsia="Arial" w:hAnsi="Arial"/>
          <w:i/>
          <w:iCs/>
          <w:sz w:val="22"/>
          <w:szCs w:val="22"/>
        </w:rPr>
        <w:t xml:space="preserve">The Glass Bead Game</w:t>
      </w:r>
      <w:r>
        <w:rPr>
          <w:rFonts w:ascii="Arial" w:cs="Arial" w:eastAsia="Arial" w:hAnsi="Arial"/>
          <w:sz w:val="22"/>
          <w:szCs w:val="22"/>
        </w:rPr>
        <w:t xml:space="preserve">, Detroit-style pizza, and live art in microgravity — and replied: </w:t>
      </w:r>
      <w:r>
        <w:rPr>
          <w:rFonts w:ascii="Arial" w:cs="Arial" w:eastAsia="Arial" w:hAnsi="Arial"/>
          <w:b/>
          <w:bCs/>
          <w:sz w:val="22"/>
          <w:szCs w:val="22"/>
        </w:rPr>
        <w:t xml:space="preserve">“Totally fascinating. Looking forward to talking this through!”</w:t>
      </w:r>
      <w:r>
        <w:rPr>
          <w:rFonts w:ascii="Arial" w:cs="Arial" w:eastAsia="Arial" w:hAnsi="Arial"/>
          <w:sz w:val="22"/>
          <w:szCs w:val="22"/>
        </w:rPr>
        <w:t xml:space="preserve"> A mid-September meeting is being scheduled (his scheduler Nyx will lock a window). This document lays out the architecture of what we bring to that meeting.</w:t>
      </w:r>
    </w:p>
    <w:p>
      <w:pPr>
        <w:pStyle w:val="Heading1"/>
        <w:spacing w:after="120" w:before="280"/>
      </w:pPr>
      <w:r>
        <w:rPr>
          <w:rFonts w:ascii="Arial" w:cs="Arial" w:eastAsia="Arial" w:hAnsi="Arial"/>
          <w:b/>
          <w:bCs/>
          <w:sz w:val="28"/>
          <w:szCs w:val="28"/>
        </w:rPr>
        <w:t xml:space="preserve">2. Identity</w:t>
      </w:r>
    </w:p>
    <w:p>
      <w:pPr>
        <w:pStyle w:val="ListParagraph"/>
        <w:numPr>
          <w:ilvl w:val="0"/>
          <w:numId w:val="2"/>
        </w:numPr>
        <w:spacing w:after="80"/>
      </w:pPr>
      <w:r>
        <w:rPr>
          <w:rFonts w:ascii="Arial" w:cs="Arial" w:eastAsia="Arial" w:hAnsi="Arial"/>
          <w:b/>
          <w:bCs/>
          <w:sz w:val="22"/>
          <w:szCs w:val="22"/>
        </w:rPr>
        <w:t xml:space="preserve">Kynda</w:t>
      </w:r>
      <w:r>
        <w:rPr>
          <w:rFonts w:ascii="Arial" w:cs="Arial" w:eastAsia="Arial" w:hAnsi="Arial"/>
          <w:sz w:val="22"/>
          <w:szCs w:val="22"/>
        </w:rPr>
        <w:t xml:space="preserve"> is the product we take forward: a contextual recommendation engine. “You give me something you love, I give you five things you'll also love.”</w:t>
      </w:r>
    </w:p>
    <w:p>
      <w:pPr>
        <w:pStyle w:val="ListParagraph"/>
        <w:numPr>
          <w:ilvl w:val="0"/>
          <w:numId w:val="2"/>
        </w:numPr>
        <w:spacing w:after="80"/>
      </w:pPr>
      <w:r>
        <w:rPr>
          <w:rFonts w:ascii="Arial" w:cs="Arial" w:eastAsia="Arial" w:hAnsi="Arial"/>
          <w:b/>
          <w:bCs/>
          <w:sz w:val="22"/>
          <w:szCs w:val="22"/>
        </w:rPr>
        <w:t xml:space="preserve">The Influence Project</w:t>
      </w:r>
      <w:r>
        <w:rPr>
          <w:rFonts w:ascii="Arial" w:cs="Arial" w:eastAsia="Arial" w:hAnsi="Arial"/>
          <w:sz w:val="22"/>
          <w:szCs w:val="22"/>
        </w:rPr>
        <w:t xml:space="preserve"> is the umbrella — the 2013-origin vision that products emerge from (Kynda first; others later).</w:t>
      </w:r>
    </w:p>
    <w:p>
      <w:pPr>
        <w:pStyle w:val="ListParagraph"/>
        <w:numPr>
          <w:ilvl w:val="0"/>
          <w:numId w:val="2"/>
        </w:numPr>
        <w:spacing w:after="80"/>
      </w:pPr>
      <w:r>
        <w:rPr>
          <w:rFonts w:ascii="Arial" w:cs="Arial" w:eastAsia="Arial" w:hAnsi="Arial"/>
          <w:sz w:val="22"/>
          <w:szCs w:val="22"/>
        </w:rPr>
        <w:t xml:space="preserve">influenced.it is dormant; The O&amp;O remains the shell company.</w:t>
      </w:r>
    </w:p>
    <w:p>
      <w:pPr>
        <w:pStyle w:val="Heading1"/>
        <w:spacing w:after="120" w:before="280"/>
      </w:pPr>
      <w:r>
        <w:rPr>
          <w:rFonts w:ascii="Arial" w:cs="Arial" w:eastAsia="Arial" w:hAnsi="Arial"/>
          <w:b/>
          <w:bCs/>
          <w:sz w:val="28"/>
          <w:szCs w:val="28"/>
        </w:rPr>
        <w:t xml:space="preserve">3. The vision (condensed)</w:t>
      </w:r>
    </w:p>
    <w:p>
      <w:pPr>
        <w:pStyle w:val="ListParagraph"/>
        <w:numPr>
          <w:ilvl w:val="0"/>
          <w:numId w:val="2"/>
        </w:numPr>
        <w:spacing w:after="80"/>
      </w:pPr>
      <w:r>
        <w:rPr>
          <w:rFonts w:ascii="Arial" w:cs="Arial" w:eastAsia="Arial" w:hAnsi="Arial"/>
          <w:b/>
          <w:bCs/>
          <w:sz w:val="22"/>
          <w:szCs w:val="22"/>
        </w:rPr>
        <w:t xml:space="preserve">The unchanging core:</w:t>
      </w:r>
      <w:r>
        <w:rPr>
          <w:rFonts w:ascii="Arial" w:cs="Arial" w:eastAsia="Arial" w:hAnsi="Arial"/>
          <w:sz w:val="22"/>
          <w:szCs w:val="22"/>
        </w:rPr>
        <w:t xml:space="preserve"> the contextual recommendation engine is the value prop and stays it. Everything else serves it.</w:t>
      </w:r>
    </w:p>
    <w:p>
      <w:pPr>
        <w:pStyle w:val="ListParagraph"/>
        <w:numPr>
          <w:ilvl w:val="0"/>
          <w:numId w:val="2"/>
        </w:numPr>
        <w:spacing w:after="80"/>
      </w:pPr>
      <w:r>
        <w:rPr>
          <w:rFonts w:ascii="Arial" w:cs="Arial" w:eastAsia="Arial" w:hAnsi="Arial"/>
          <w:b/>
          <w:bCs/>
          <w:sz w:val="22"/>
          <w:szCs w:val="22"/>
        </w:rPr>
        <w:t xml:space="preserve">Direction of travel:</w:t>
      </w:r>
      <w:r>
        <w:rPr>
          <w:rFonts w:ascii="Arial" w:cs="Arial" w:eastAsia="Arial" w:hAnsi="Arial"/>
          <w:sz w:val="22"/>
          <w:szCs w:val="22"/>
        </w:rPr>
        <w:t xml:space="preserve"> agnostic not only of medium but of language, culture, device, and form of creation. (The pizza page accelerated what was notionally always there.)</w:t>
      </w:r>
    </w:p>
    <w:p>
      <w:pPr>
        <w:pStyle w:val="ListParagraph"/>
        <w:numPr>
          <w:ilvl w:val="0"/>
          <w:numId w:val="2"/>
        </w:numPr>
        <w:spacing w:after="80"/>
      </w:pPr>
      <w:r>
        <w:rPr>
          <w:rFonts w:ascii="Arial" w:cs="Arial" w:eastAsia="Arial" w:hAnsi="Arial"/>
          <w:b/>
          <w:bCs/>
          <w:sz w:val="22"/>
          <w:szCs w:val="22"/>
        </w:rPr>
        <w:t xml:space="preserve">Sequencing discipline:</w:t>
      </w:r>
      <w:r>
        <w:rPr>
          <w:rFonts w:ascii="Arial" w:cs="Arial" w:eastAsia="Arial" w:hAnsi="Arial"/>
          <w:sz w:val="22"/>
          <w:szCs w:val="22"/>
        </w:rPr>
        <w:t xml:space="preserve"> the risk is diluting too quickly. Music first and proven; film next — harder, potentially more rewarding. Depth before breadth, deliberately.</w:t>
      </w:r>
    </w:p>
    <w:p>
      <w:pPr>
        <w:pStyle w:val="ListParagraph"/>
        <w:numPr>
          <w:ilvl w:val="0"/>
          <w:numId w:val="2"/>
        </w:numPr>
        <w:spacing w:after="80"/>
      </w:pPr>
      <w:r>
        <w:rPr>
          <w:rFonts w:ascii="Arial" w:cs="Arial" w:eastAsia="Arial" w:hAnsi="Arial"/>
          <w:b/>
          <w:bCs/>
          <w:sz w:val="22"/>
          <w:szCs w:val="22"/>
        </w:rPr>
        <w:t xml:space="preserve">Emergent layers (later, not built first):</w:t>
      </w:r>
      <w:r>
        <w:rPr>
          <w:rFonts w:ascii="Arial" w:cs="Arial" w:eastAsia="Arial" w:hAnsi="Arial"/>
          <w:sz w:val="22"/>
          <w:szCs w:val="22"/>
        </w:rPr>
        <w:t xml:space="preserve"> a social graph atop the influence graph; emergent field experts; conversations that burst from the page — with the double-edged sword of user contributions and curatorial overhead.</w:t>
      </w:r>
    </w:p>
    <w:p>
      <w:pPr>
        <w:pStyle w:val="ListParagraph"/>
        <w:numPr>
          <w:ilvl w:val="0"/>
          <w:numId w:val="2"/>
        </w:numPr>
        <w:spacing w:after="80"/>
      </w:pPr>
      <w:r>
        <w:rPr>
          <w:rFonts w:ascii="Arial" w:cs="Arial" w:eastAsia="Arial" w:hAnsi="Arial"/>
          <w:b/>
          <w:bCs/>
          <w:sz w:val="22"/>
          <w:szCs w:val="22"/>
        </w:rPr>
        <w:t xml:space="preserve">The engine:</w:t>
      </w:r>
      <w:r>
        <w:rPr>
          <w:rFonts w:ascii="Arial" w:cs="Arial" w:eastAsia="Arial" w:hAnsi="Arial"/>
          <w:sz w:val="22"/>
          <w:szCs w:val="22"/>
        </w:rPr>
        <w:t xml:space="preserve"> a continued feedback loop leveraging the newest AI, while keeping the experience rooted in humanity. Every claim machine-verified; the model never grades its own homework.</w:t>
      </w:r>
    </w:p>
    <w:p>
      <w:pPr>
        <w:pStyle w:val="ListParagraph"/>
        <w:numPr>
          <w:ilvl w:val="0"/>
          <w:numId w:val="2"/>
        </w:numPr>
        <w:spacing w:after="80"/>
      </w:pPr>
      <w:r>
        <w:rPr>
          <w:rFonts w:ascii="Arial" w:cs="Arial" w:eastAsia="Arial" w:hAnsi="Arial"/>
          <w:b/>
          <w:bCs/>
          <w:sz w:val="22"/>
          <w:szCs w:val="22"/>
        </w:rPr>
        <w:t xml:space="preserve">The dream at the top:</w:t>
      </w:r>
      <w:r>
        <w:rPr>
          <w:rFonts w:ascii="Arial" w:cs="Arial" w:eastAsia="Arial" w:hAnsi="Arial"/>
          <w:sz w:val="22"/>
          <w:szCs w:val="22"/>
        </w:rPr>
        <w:t xml:space="preserve"> artists curate their own influence maps. (September opportunity: Sydney could be the first.)</w:t>
      </w:r>
    </w:p>
    <w:p>
      <w:pPr>
        <w:pStyle w:val="Heading1"/>
        <w:spacing w:after="120" w:before="280"/>
      </w:pPr>
      <w:r>
        <w:rPr>
          <w:rFonts w:ascii="Arial" w:cs="Arial" w:eastAsia="Arial" w:hAnsi="Arial"/>
          <w:b/>
          <w:bCs/>
          <w:sz w:val="28"/>
          <w:szCs w:val="28"/>
        </w:rPr>
        <w:t xml:space="preserve">4. Six ways a Brown relationship could work</w:t>
      </w:r>
    </w:p>
    <w:p>
      <w:pPr>
        <w:pStyle w:val="ListParagraph"/>
        <w:numPr>
          <w:ilvl w:val="0"/>
          <w:numId w:val="3"/>
        </w:numPr>
        <w:spacing w:after="80"/>
      </w:pPr>
      <w:r>
        <w:rPr>
          <w:rFonts w:ascii="Arial" w:cs="Arial" w:eastAsia="Arial" w:hAnsi="Arial"/>
          <w:b/>
          <w:bCs/>
          <w:sz w:val="22"/>
          <w:szCs w:val="22"/>
        </w:rPr>
        <w:t xml:space="preserve">Funding</w:t>
      </w:r>
      <w:r>
        <w:rPr>
          <w:rFonts w:ascii="Arial" w:cs="Arial" w:eastAsia="Arial" w:hAnsi="Arial"/>
          <w:sz w:val="22"/>
          <w:szCs w:val="22"/>
        </w:rPr>
        <w:t xml:space="preserve"> — a grant, internal labor, subsidized AI tokens. The spend ledger makes the ask legible: the corpus that won Sydney over cost roughly $50 in tokens.</w:t>
      </w:r>
    </w:p>
    <w:p>
      <w:pPr>
        <w:pStyle w:val="ListParagraph"/>
        <w:numPr>
          <w:ilvl w:val="0"/>
          <w:numId w:val="3"/>
        </w:numPr>
        <w:spacing w:after="80"/>
      </w:pPr>
      <w:r>
        <w:rPr>
          <w:rFonts w:ascii="Arial" w:cs="Arial" w:eastAsia="Arial" w:hAnsi="Arial"/>
          <w:b/>
          <w:bCs/>
          <w:sz w:val="22"/>
          <w:szCs w:val="22"/>
        </w:rPr>
        <w:t xml:space="preserve">Research partnership on closed data</w:t>
      </w:r>
      <w:r>
        <w:rPr>
          <w:rFonts w:ascii="Arial" w:cs="Arial" w:eastAsia="Arial" w:hAnsi="Arial"/>
          <w:sz w:val="22"/>
          <w:szCs w:val="22"/>
        </w:rPr>
        <w:t xml:space="preserve"> — build what the open web can't: Brown's libraries, archives, licensed collections. Every honest “unchecked” badge in the product is this argument made visible.</w:t>
      </w:r>
    </w:p>
    <w:p>
      <w:pPr>
        <w:pStyle w:val="ListParagraph"/>
        <w:numPr>
          <w:ilvl w:val="0"/>
          <w:numId w:val="3"/>
        </w:numPr>
        <w:spacing w:after="80"/>
      </w:pPr>
      <w:r>
        <w:rPr>
          <w:rFonts w:ascii="Arial" w:cs="Arial" w:eastAsia="Arial" w:hAnsi="Arial"/>
          <w:b/>
          <w:bCs/>
          <w:sz w:val="22"/>
          <w:szCs w:val="22"/>
        </w:rPr>
        <w:t xml:space="preserve">Curriculum</w:t>
      </w:r>
      <w:r>
        <w:rPr>
          <w:rFonts w:ascii="Arial" w:cs="Arial" w:eastAsia="Arial" w:hAnsi="Arial"/>
          <w:sz w:val="22"/>
          <w:szCs w:val="22"/>
        </w:rPr>
        <w:t xml:space="preserve"> — Kynda woven into arts, CS, and anthropology teaching. Proven at UCLA (below).</w:t>
      </w:r>
    </w:p>
    <w:p>
      <w:pPr>
        <w:pStyle w:val="ListParagraph"/>
        <w:numPr>
          <w:ilvl w:val="0"/>
          <w:numId w:val="3"/>
        </w:numPr>
        <w:spacing w:after="80"/>
      </w:pPr>
      <w:r>
        <w:rPr>
          <w:rFonts w:ascii="Arial" w:cs="Arial" w:eastAsia="Arial" w:hAnsi="Arial"/>
          <w:b/>
          <w:bCs/>
          <w:sz w:val="22"/>
          <w:szCs w:val="22"/>
        </w:rPr>
        <w:t xml:space="preserve">Students as first-class contributors</w:t>
      </w:r>
      <w:r>
        <w:rPr>
          <w:rFonts w:ascii="Arial" w:cs="Arial" w:eastAsia="Arial" w:hAnsi="Arial"/>
          <w:sz w:val="22"/>
          <w:szCs w:val="22"/>
        </w:rPr>
        <w:t xml:space="preserve"> — the contributor pipeline already exists end to end (ask → hunch → curator queue → sourced evidence → published card with the contributor's name).</w:t>
      </w:r>
    </w:p>
    <w:p>
      <w:pPr>
        <w:pStyle w:val="ListParagraph"/>
        <w:numPr>
          <w:ilvl w:val="0"/>
          <w:numId w:val="3"/>
        </w:numPr>
        <w:spacing w:after="80"/>
      </w:pPr>
      <w:r>
        <w:rPr>
          <w:rFonts w:ascii="Arial" w:cs="Arial" w:eastAsia="Arial" w:hAnsi="Arial"/>
          <w:b/>
          <w:bCs/>
          <w:sz w:val="22"/>
          <w:szCs w:val="22"/>
        </w:rPr>
        <w:t xml:space="preserve">Brown's name for the whale conversations</w:t>
      </w:r>
      <w:r>
        <w:rPr>
          <w:rFonts w:ascii="Arial" w:cs="Arial" w:eastAsia="Arial" w:hAnsi="Arial"/>
          <w:sz w:val="22"/>
          <w:szCs w:val="22"/>
        </w:rPr>
        <w:t xml:space="preserve"> — NYT, NPR, BBC, international culture archives. Letterhead converts cold outreach into institutional conversation.</w:t>
      </w:r>
    </w:p>
    <w:p>
      <w:pPr>
        <w:pStyle w:val="ListParagraph"/>
        <w:numPr>
          <w:ilvl w:val="0"/>
          <w:numId w:val="3"/>
        </w:numPr>
        <w:spacing w:after="80"/>
      </w:pPr>
      <w:r>
        <w:rPr>
          <w:rFonts w:ascii="Arial" w:cs="Arial" w:eastAsia="Arial" w:hAnsi="Arial"/>
          <w:b/>
          <w:bCs/>
          <w:sz w:val="22"/>
          <w:szCs w:val="22"/>
        </w:rPr>
        <w:t xml:space="preserve">The bridge to Steven Johnson — and perhaps Google</w:t>
      </w:r>
      <w:r>
        <w:rPr>
          <w:rFonts w:ascii="Arial" w:cs="Arial" w:eastAsia="Arial" w:hAnsi="Arial"/>
          <w:sz w:val="22"/>
          <w:szCs w:val="22"/>
        </w:rPr>
        <w:t xml:space="preserve"> — fellow alum, nearly a board member, now of NotebookLM (source-grounded AI: the same religion). Note this is Brown-as-alumni-network, a different mechanism from Brown-as-institution.</w:t>
      </w:r>
    </w:p>
    <w:p>
      <w:pPr>
        <w:pStyle w:val="Heading1"/>
        <w:spacing w:after="120" w:before="280"/>
      </w:pPr>
      <w:r>
        <w:rPr>
          <w:rFonts w:ascii="Arial" w:cs="Arial" w:eastAsia="Arial" w:hAnsi="Arial"/>
          <w:b/>
          <w:bCs/>
          <w:sz w:val="28"/>
          <w:szCs w:val="28"/>
        </w:rPr>
        <w:t xml:space="preserve">5. Pricing a “yes” in institutional currency</w:t>
      </w:r>
    </w:p>
    <w:p>
      <w:pPr>
        <w:spacing w:after="120"/>
      </w:pPr>
      <w:r>
        <w:rPr>
          <w:rFonts w:ascii="Arial" w:cs="Arial" w:eastAsia="Arial" w:hAnsi="Arial"/>
          <w:sz w:val="22"/>
          <w:szCs w:val="22"/>
        </w:rPr>
        <w:t xml:space="preserve">Tony's correction to an early read: institutions pay in </w:t>
      </w:r>
      <w:r>
        <w:rPr>
          <w:rFonts w:ascii="Arial" w:cs="Arial" w:eastAsia="Arial" w:hAnsi="Arial"/>
          <w:b/>
          <w:bCs/>
          <w:sz w:val="22"/>
          <w:szCs w:val="22"/>
        </w:rPr>
        <w:t xml:space="preserve">friction</w:t>
      </w:r>
      <w:r>
        <w:rPr>
          <w:rFonts w:ascii="Arial" w:cs="Arial" w:eastAsia="Arial" w:hAnsi="Arial"/>
          <w:sz w:val="22"/>
          <w:szCs w:val="22"/>
        </w:rPr>
        <w:t xml:space="preserve"> — committees, faculty hearts-and-minds, security review, monitoring — not dollars. Repriced, cheapest yes first:</w:t>
      </w:r>
    </w:p>
    <w:p>
      <w:pPr>
        <w:pStyle w:val="ListParagraph"/>
        <w:numPr>
          <w:ilvl w:val="0"/>
          <w:numId w:val="4"/>
        </w:numPr>
        <w:spacing w:after="80"/>
      </w:pPr>
      <w:r>
        <w:rPr>
          <w:rFonts w:ascii="Arial" w:cs="Arial" w:eastAsia="Arial" w:hAnsi="Arial"/>
          <w:sz w:val="22"/>
          <w:szCs w:val="22"/>
        </w:rPr>
        <w:t xml:space="preserve">An introduction (Johnson/Google) — a phone call; zero governance.</w:t>
      </w:r>
    </w:p>
    <w:p>
      <w:pPr>
        <w:pStyle w:val="ListParagraph"/>
        <w:numPr>
          <w:ilvl w:val="0"/>
          <w:numId w:val="4"/>
        </w:numPr>
        <w:spacing w:after="80"/>
      </w:pPr>
      <w:r>
        <w:rPr>
          <w:rFonts w:ascii="Arial" w:cs="Arial" w:eastAsia="Arial" w:hAnsi="Arial"/>
          <w:sz w:val="22"/>
          <w:szCs w:val="22"/>
        </w:rPr>
        <w:t xml:space="preserve">A small grant / subsidized resources — dean-discretionary machinery.</w:t>
      </w:r>
    </w:p>
    <w:p>
      <w:pPr>
        <w:pStyle w:val="ListParagraph"/>
        <w:numPr>
          <w:ilvl w:val="0"/>
          <w:numId w:val="4"/>
        </w:numPr>
        <w:spacing w:after="80"/>
      </w:pPr>
      <w:r>
        <w:rPr>
          <w:rFonts w:ascii="Arial" w:cs="Arial" w:eastAsia="Arial" w:hAnsi="Arial"/>
          <w:sz w:val="22"/>
          <w:szCs w:val="22"/>
        </w:rPr>
        <w:t xml:space="preserve">A scoped research collaboration with ONE center — a single director's discretion. Sydney runs one (BAI).</w:t>
      </w:r>
    </w:p>
    <w:p>
      <w:pPr>
        <w:pStyle w:val="ListParagraph"/>
        <w:numPr>
          <w:ilvl w:val="0"/>
          <w:numId w:val="4"/>
        </w:numPr>
        <w:spacing w:after="80"/>
      </w:pPr>
      <w:r>
        <w:rPr>
          <w:rFonts w:ascii="Arial" w:cs="Arial" w:eastAsia="Arial" w:hAnsi="Arial"/>
          <w:sz w:val="22"/>
          <w:szCs w:val="22"/>
        </w:rPr>
        <w:t xml:space="preserve">Letterhead for external data conversations — brand-risk review.</w:t>
      </w:r>
    </w:p>
    <w:p>
      <w:pPr>
        <w:pStyle w:val="ListParagraph"/>
        <w:numPr>
          <w:ilvl w:val="0"/>
          <w:numId w:val="4"/>
        </w:numPr>
        <w:spacing w:after="80"/>
      </w:pPr>
      <w:r>
        <w:rPr>
          <w:rFonts w:ascii="Arial" w:cs="Arial" w:eastAsia="Arial" w:hAnsi="Arial"/>
          <w:sz w:val="22"/>
          <w:szCs w:val="22"/>
        </w:rPr>
        <w:t xml:space="preserve">Curriculum integration — committees plus faculty adoption.</w:t>
      </w:r>
    </w:p>
    <w:p>
      <w:pPr>
        <w:pStyle w:val="ListParagraph"/>
        <w:numPr>
          <w:ilvl w:val="0"/>
          <w:numId w:val="4"/>
        </w:numPr>
        <w:spacing w:after="80"/>
      </w:pPr>
      <w:r>
        <w:rPr>
          <w:rFonts w:ascii="Arial" w:cs="Arial" w:eastAsia="Arial" w:hAnsi="Arial"/>
          <w:sz w:val="22"/>
          <w:szCs w:val="22"/>
        </w:rPr>
        <w:t xml:space="preserve">Student-body access — security, privacy, FERPA, comms, monitoring. The most expensive yes.</w:t>
      </w:r>
    </w:p>
    <w:p>
      <w:pPr>
        <w:spacing w:after="120"/>
      </w:pPr>
      <w:r>
        <w:rPr>
          <w:rFonts w:ascii="Arial" w:cs="Arial" w:eastAsia="Arial" w:hAnsi="Arial"/>
          <w:i/>
          <w:iCs/>
          <w:sz w:val="22"/>
          <w:szCs w:val="22"/>
        </w:rPr>
        <w:t xml:space="preserve">Consequence: the value flywheel and the adoption path run in opposite directions. Start with the yeses Sydney can give alone; let evidence make the expensive yeses arguable by insiders.</w:t>
      </w:r>
    </w:p>
    <w:p>
      <w:pPr>
        <w:pStyle w:val="Heading1"/>
        <w:spacing w:after="120" w:before="280"/>
      </w:pPr>
      <w:r>
        <w:rPr>
          <w:rFonts w:ascii="Arial" w:cs="Arial" w:eastAsia="Arial" w:hAnsi="Arial"/>
          <w:b/>
          <w:bCs/>
          <w:sz w:val="28"/>
          <w:szCs w:val="28"/>
        </w:rPr>
        <w:t xml:space="preserve">6. The flywheel (ratified structure)</w:t>
      </w:r>
    </w:p>
    <w:p>
      <w:pPr>
        <w:spacing w:after="120"/>
      </w:pPr>
      <w:r>
        <w:rPr>
          <w:rFonts w:ascii="Arial" w:cs="Arial" w:eastAsia="Arial" w:hAnsi="Arial"/>
          <w:sz w:val="22"/>
          <w:szCs w:val="22"/>
        </w:rPr>
        <w:t xml:space="preserve">Each turn is sized to who can grant it; each turn's output justifies the next.</w:t>
      </w:r>
    </w:p>
    <w:p>
      <w:pPr>
        <w:pStyle w:val="ListParagraph"/>
        <w:numPr>
          <w:ilvl w:val="0"/>
          <w:numId w:val="5"/>
        </w:numPr>
        <w:spacing w:after="80"/>
      </w:pPr>
      <w:r>
        <w:rPr>
          <w:rFonts w:ascii="Arial" w:cs="Arial" w:eastAsia="Arial" w:hAnsi="Arial"/>
          <w:b/>
          <w:bCs/>
          <w:sz w:val="22"/>
          <w:szCs w:val="22"/>
        </w:rPr>
        <w:t xml:space="preserve">The cadence (Turn 0).</w:t>
      </w:r>
      <w:r>
        <w:rPr>
          <w:rFonts w:ascii="Arial" w:cs="Arial" w:eastAsia="Arial" w:hAnsi="Arial"/>
          <w:sz w:val="22"/>
          <w:szCs w:val="22"/>
        </w:rPr>
        <w:t xml:space="preserve"> The UCLA playbook: the class happened after six months of biweekly musing with the Dean — who then proposed it himself. Be intentional about the cadence, patient about the conclusion. Sydney has effectively already said yes to this (“looking forward to talking this through”). Compressed this time: we arrive with a working product and evidence.</w:t>
      </w:r>
    </w:p>
    <w:p>
      <w:pPr>
        <w:pStyle w:val="ListParagraph"/>
        <w:numPr>
          <w:ilvl w:val="0"/>
          <w:numId w:val="5"/>
        </w:numPr>
        <w:spacing w:after="80"/>
      </w:pPr>
      <w:r>
        <w:rPr>
          <w:rFonts w:ascii="Arial" w:cs="Arial" w:eastAsia="Arial" w:hAnsi="Arial"/>
          <w:b/>
          <w:bCs/>
          <w:sz w:val="22"/>
          <w:szCs w:val="22"/>
        </w:rPr>
        <w:t xml:space="preserve">The solo yes (September's anchor).</w:t>
      </w:r>
      <w:r>
        <w:rPr>
          <w:rFonts w:ascii="Arial" w:cs="Arial" w:eastAsia="Arial" w:hAnsi="Arial"/>
          <w:sz w:val="22"/>
          <w:szCs w:val="22"/>
        </w:rPr>
        <w:t xml:space="preserve"> An inexpensive pilot scoped to BAI — a decision Sydney can make alone, ideally arriving partly as his idea. Candidate shape: a BAI-curated corpus in his own under-documented field; Sydney as first artist-curator.</w:t>
      </w:r>
    </w:p>
    <w:p>
      <w:pPr>
        <w:pStyle w:val="ListParagraph"/>
        <w:numPr>
          <w:ilvl w:val="0"/>
          <w:numId w:val="5"/>
        </w:numPr>
        <w:spacing w:after="80"/>
      </w:pPr>
      <w:r>
        <w:rPr>
          <w:rFonts w:ascii="Arial" w:cs="Arial" w:eastAsia="Arial" w:hAnsi="Arial"/>
          <w:b/>
          <w:bCs/>
          <w:sz w:val="22"/>
          <w:szCs w:val="22"/>
        </w:rPr>
        <w:t xml:space="preserve">The adjacent accelerant.</w:t>
      </w:r>
      <w:r>
        <w:rPr>
          <w:rFonts w:ascii="Arial" w:cs="Arial" w:eastAsia="Arial" w:hAnsi="Arial"/>
          <w:sz w:val="22"/>
          <w:szCs w:val="22"/>
        </w:rPr>
        <w:t xml:space="preserve"> Modest funding or token subsidization to speed the pilot.</w:t>
      </w:r>
    </w:p>
    <w:p>
      <w:pPr>
        <w:pStyle w:val="ListParagraph"/>
        <w:numPr>
          <w:ilvl w:val="0"/>
          <w:numId w:val="5"/>
        </w:numPr>
        <w:spacing w:after="80"/>
      </w:pPr>
      <w:r>
        <w:rPr>
          <w:rFonts w:ascii="Arial" w:cs="Arial" w:eastAsia="Arial" w:hAnsi="Arial"/>
          <w:b/>
          <w:bCs/>
          <w:sz w:val="22"/>
          <w:szCs w:val="22"/>
        </w:rPr>
        <w:t xml:space="preserve">Evidence accumulates.</w:t>
      </w:r>
      <w:r>
        <w:rPr>
          <w:rFonts w:ascii="Arial" w:cs="Arial" w:eastAsia="Arial" w:hAnsi="Arial"/>
          <w:sz w:val="22"/>
          <w:szCs w:val="22"/>
        </w:rPr>
        <w:t xml:space="preserve"> Verifiable artifacts: documented maps of under-cataloged fields, citation counts, badge rates, perhaps a co-authored piece.</w:t>
      </w:r>
    </w:p>
    <w:p>
      <w:pPr>
        <w:pStyle w:val="ListParagraph"/>
        <w:numPr>
          <w:ilvl w:val="0"/>
          <w:numId w:val="5"/>
        </w:numPr>
        <w:spacing w:after="80"/>
      </w:pPr>
      <w:r>
        <w:rPr>
          <w:rFonts w:ascii="Arial" w:cs="Arial" w:eastAsia="Arial" w:hAnsi="Arial"/>
          <w:b/>
          <w:bCs/>
          <w:sz w:val="22"/>
          <w:szCs w:val="22"/>
        </w:rPr>
        <w:t xml:space="preserve">The bridges open.</w:t>
      </w:r>
      <w:r>
        <w:rPr>
          <w:rFonts w:ascii="Arial" w:cs="Arial" w:eastAsia="Arial" w:hAnsi="Arial"/>
          <w:sz w:val="22"/>
          <w:szCs w:val="22"/>
        </w:rPr>
        <w:t xml:space="preserve"> The Johnson/Google introduction, carried with evidence.</w:t>
      </w:r>
    </w:p>
    <w:p>
      <w:pPr>
        <w:pStyle w:val="ListParagraph"/>
        <w:numPr>
          <w:ilvl w:val="0"/>
          <w:numId w:val="5"/>
        </w:numPr>
        <w:spacing w:after="80"/>
      </w:pPr>
      <w:r>
        <w:rPr>
          <w:rFonts w:ascii="Arial" w:cs="Arial" w:eastAsia="Arial" w:hAnsi="Arial"/>
          <w:b/>
          <w:bCs/>
          <w:sz w:val="22"/>
          <w:szCs w:val="22"/>
        </w:rPr>
        <w:t xml:space="preserve">The committee yeses, argued from evidence.</w:t>
      </w:r>
      <w:r>
        <w:rPr>
          <w:rFonts w:ascii="Arial" w:cs="Arial" w:eastAsia="Arial" w:hAnsi="Arial"/>
          <w:sz w:val="22"/>
          <w:szCs w:val="22"/>
        </w:rPr>
        <w:t xml:space="preserve"> Deeper research partnership; curriculum; student contributors — championed internally.</w:t>
      </w:r>
    </w:p>
    <w:p>
      <w:pPr>
        <w:pStyle w:val="ListParagraph"/>
        <w:numPr>
          <w:ilvl w:val="0"/>
          <w:numId w:val="5"/>
        </w:numPr>
        <w:spacing w:after="120"/>
      </w:pPr>
      <w:r>
        <w:rPr>
          <w:rFonts w:ascii="Arial" w:cs="Arial" w:eastAsia="Arial" w:hAnsi="Arial"/>
          <w:b/>
          <w:bCs/>
          <w:sz w:val="22"/>
          <w:szCs w:val="22"/>
        </w:rPr>
        <w:t xml:space="preserve">The letterhead.</w:t>
      </w:r>
      <w:r>
        <w:rPr>
          <w:rFonts w:ascii="Arial" w:cs="Arial" w:eastAsia="Arial" w:hAnsi="Arial"/>
          <w:sz w:val="22"/>
          <w:szCs w:val="22"/>
        </w:rPr>
        <w:t xml:space="preserve"> With adoption real, Brown's name opens the whale data conversations.</w:t>
      </w:r>
    </w:p>
    <w:p>
      <w:pPr>
        <w:pStyle w:val="Heading1"/>
        <w:spacing w:after="120" w:before="280"/>
      </w:pPr>
      <w:r>
        <w:rPr>
          <w:rFonts w:ascii="Arial" w:cs="Arial" w:eastAsia="Arial" w:hAnsi="Arial"/>
          <w:b/>
          <w:bCs/>
          <w:sz w:val="28"/>
          <w:szCs w:val="28"/>
        </w:rPr>
        <w:t xml:space="preserve">7. Assets in hand</w:t>
      </w:r>
    </w:p>
    <w:p>
      <w:pPr>
        <w:pStyle w:val="ListParagraph"/>
        <w:numPr>
          <w:ilvl w:val="0"/>
          <w:numId w:val="2"/>
        </w:numPr>
        <w:spacing w:after="80"/>
      </w:pPr>
      <w:r>
        <w:rPr>
          <w:rFonts w:ascii="Arial" w:cs="Arial" w:eastAsia="Arial" w:hAnsi="Arial"/>
          <w:b/>
          <w:bCs/>
          <w:sz w:val="22"/>
          <w:szCs w:val="22"/>
        </w:rPr>
        <w:t xml:space="preserve">A working product Sydney has already tested</w:t>
      </w:r>
      <w:r>
        <w:rPr>
          <w:rFonts w:ascii="Arial" w:cs="Arial" w:eastAsia="Arial" w:hAnsi="Arial"/>
          <w:sz w:val="22"/>
          <w:szCs w:val="22"/>
        </w:rPr>
        <w:t xml:space="preserve"> — 175+ subjects, ~3,700 machine-verified citations, honest provenance badges throughout; his three challenge pages live behind clean share links; visit logging confirmed he read them.</w:t>
      </w:r>
    </w:p>
    <w:p>
      <w:pPr>
        <w:pStyle w:val="ListParagraph"/>
        <w:numPr>
          <w:ilvl w:val="0"/>
          <w:numId w:val="2"/>
        </w:numPr>
        <w:spacing w:after="80"/>
      </w:pPr>
      <w:r>
        <w:rPr>
          <w:rFonts w:ascii="Arial" w:cs="Arial" w:eastAsia="Arial" w:hAnsi="Arial"/>
          <w:b/>
          <w:bCs/>
          <w:sz w:val="22"/>
          <w:szCs w:val="22"/>
        </w:rPr>
        <w:t xml:space="preserve">The UCLA precedent</w:t>
      </w:r>
      <w:r>
        <w:rPr>
          <w:rFonts w:ascii="Arial" w:cs="Arial" w:eastAsia="Arial" w:hAnsi="Arial"/>
          <w:sz w:val="22"/>
          <w:szCs w:val="22"/>
        </w:rPr>
        <w:t xml:space="preserve"> — Tony taught the inaugural influence class at Herb Alpert (Fall '22), students co-developed the taxonomy, interns followed, faculty wanted to buy. The curriculum/students ways are a rerun, not a hypothesis. Relationship persists; use as credibility lever.</w:t>
      </w:r>
    </w:p>
    <w:p>
      <w:pPr>
        <w:pStyle w:val="ListParagraph"/>
        <w:numPr>
          <w:ilvl w:val="0"/>
          <w:numId w:val="2"/>
        </w:numPr>
        <w:spacing w:after="80"/>
      </w:pPr>
      <w:r>
        <w:rPr>
          <w:rFonts w:ascii="Arial" w:cs="Arial" w:eastAsia="Arial" w:hAnsi="Arial"/>
          <w:b/>
          <w:bCs/>
          <w:sz w:val="22"/>
          <w:szCs w:val="22"/>
        </w:rPr>
        <w:t xml:space="preserve">Thirteen years of conviction</w:t>
      </w:r>
      <w:r>
        <w:rPr>
          <w:rFonts w:ascii="Arial" w:cs="Arial" w:eastAsia="Arial" w:hAnsi="Arial"/>
          <w:sz w:val="22"/>
          <w:szCs w:val="22"/>
        </w:rPr>
        <w:t xml:space="preserve"> — influenced.it (2013), the manifesto, the chalkboard totem. Not an AI-era whim.</w:t>
      </w:r>
    </w:p>
    <w:p>
      <w:pPr>
        <w:pStyle w:val="ListParagraph"/>
        <w:numPr>
          <w:ilvl w:val="0"/>
          <w:numId w:val="2"/>
        </w:numPr>
        <w:spacing w:after="80"/>
      </w:pPr>
      <w:r>
        <w:rPr>
          <w:rFonts w:ascii="Arial" w:cs="Arial" w:eastAsia="Arial" w:hAnsi="Arial"/>
          <w:b/>
          <w:bCs/>
          <w:sz w:val="22"/>
          <w:szCs w:val="22"/>
        </w:rPr>
        <w:t xml:space="preserve">The 2022 Beyoncé spreadsheet</w:t>
      </w:r>
      <w:r>
        <w:rPr>
          <w:rFonts w:ascii="Arial" w:cs="Arial" w:eastAsia="Arial" w:hAnsi="Arial"/>
          <w:sz w:val="22"/>
          <w:szCs w:val="22"/>
        </w:rPr>
        <w:t xml:space="preserve"> — 593 hand-labeled, hand-dated connections; proves supernova density and doubles as the golden set for the (designed, parked) automated density pipeline: ~$250 first artist, ~$20–50 each thereafter.</w:t>
      </w:r>
    </w:p>
    <w:p>
      <w:pPr>
        <w:pStyle w:val="ListParagraph"/>
        <w:numPr>
          <w:ilvl w:val="0"/>
          <w:numId w:val="2"/>
        </w:numPr>
        <w:spacing w:after="80"/>
      </w:pPr>
      <w:r>
        <w:rPr>
          <w:rFonts w:ascii="Arial" w:cs="Arial" w:eastAsia="Arial" w:hAnsi="Arial"/>
          <w:b/>
          <w:bCs/>
          <w:sz w:val="22"/>
          <w:szCs w:val="22"/>
        </w:rPr>
        <w:t xml:space="preserve">The pilot video</w:t>
      </w:r>
      <w:r>
        <w:rPr>
          <w:rFonts w:ascii="Arial" w:cs="Arial" w:eastAsia="Arial" w:hAnsi="Arial"/>
          <w:sz w:val="22"/>
          <w:szCs w:val="22"/>
        </w:rPr>
        <w:t xml:space="preserve"> — ~7 minutes, entirely AI-generated, fictional artist; demonstrates the influence-biography format. If shown, always framed as exactly that.</w:t>
      </w:r>
    </w:p>
    <w:p>
      <w:pPr>
        <w:pStyle w:val="ListParagraph"/>
        <w:numPr>
          <w:ilvl w:val="0"/>
          <w:numId w:val="2"/>
        </w:numPr>
        <w:spacing w:after="80"/>
      </w:pPr>
      <w:r>
        <w:rPr>
          <w:rFonts w:ascii="Arial" w:cs="Arial" w:eastAsia="Arial" w:hAnsi="Arial"/>
          <w:b/>
          <w:bCs/>
          <w:sz w:val="22"/>
          <w:szCs w:val="22"/>
        </w:rPr>
        <w:t xml:space="preserve">Legible economics</w:t>
      </w:r>
      <w:r>
        <w:rPr>
          <w:rFonts w:ascii="Arial" w:cs="Arial" w:eastAsia="Arial" w:hAnsi="Arial"/>
          <w:sz w:val="22"/>
          <w:szCs w:val="22"/>
        </w:rPr>
        <w:t xml:space="preserve"> — a spend ledger with receipts; the entire demo that won Sydney cost tens of dollars.</w:t>
      </w:r>
    </w:p>
    <w:p>
      <w:pPr>
        <w:pStyle w:val="ListParagraph"/>
        <w:numPr>
          <w:ilvl w:val="0"/>
          <w:numId w:val="2"/>
        </w:numPr>
        <w:spacing w:after="80"/>
      </w:pPr>
      <w:r>
        <w:rPr>
          <w:rFonts w:ascii="Arial" w:cs="Arial" w:eastAsia="Arial" w:hAnsi="Arial"/>
          <w:b/>
          <w:bCs/>
          <w:sz w:val="22"/>
          <w:szCs w:val="22"/>
        </w:rPr>
        <w:t xml:space="preserve">Meagan</w:t>
      </w:r>
      <w:r>
        <w:rPr>
          <w:rFonts w:ascii="Arial" w:cs="Arial" w:eastAsia="Arial" w:hAnsi="Arial"/>
          <w:sz w:val="22"/>
          <w:szCs w:val="22"/>
        </w:rPr>
        <w:t xml:space="preserve"> — $100MM+ raised at the IRC; 15+ years brand-building at Condé Nast, Hearst, Hachette. The funding way has a professional operator on the founding team.</w:t>
      </w:r>
    </w:p>
    <w:p>
      <w:pPr>
        <w:pStyle w:val="Heading1"/>
        <w:spacing w:after="120" w:before="280"/>
      </w:pPr>
      <w:r>
        <w:rPr>
          <w:rFonts w:ascii="Arial" w:cs="Arial" w:eastAsia="Arial" w:hAnsi="Arial"/>
          <w:b/>
          <w:bCs/>
          <w:sz w:val="28"/>
          <w:szCs w:val="28"/>
        </w:rPr>
        <w:t xml:space="preserve">8. Decisions already made</w:t>
      </w:r>
    </w:p>
    <w:p>
      <w:pPr>
        <w:pStyle w:val="ListParagraph"/>
        <w:numPr>
          <w:ilvl w:val="0"/>
          <w:numId w:val="2"/>
        </w:numPr>
        <w:spacing w:after="80"/>
      </w:pPr>
      <w:r>
        <w:rPr>
          <w:rFonts w:ascii="Arial" w:cs="Arial" w:eastAsia="Arial" w:hAnsi="Arial"/>
          <w:b/>
          <w:bCs/>
          <w:sz w:val="22"/>
          <w:szCs w:val="22"/>
        </w:rPr>
        <w:t xml:space="preserve">Focus beats the product ladder</w:t>
      </w:r>
      <w:r>
        <w:rPr>
          <w:rFonts w:ascii="Arial" w:cs="Arial" w:eastAsia="Arial" w:hAnsi="Arial"/>
          <w:sz w:val="22"/>
          <w:szCs w:val="22"/>
        </w:rPr>
        <w:t xml:space="preserve"> — get the core right; futures live on one “Future Applications” slide. Predictive analytics: parked. Media company: stays in the mix via the pilot-video format; patent groundwork in the backlog.</w:t>
      </w:r>
    </w:p>
    <w:p>
      <w:pPr>
        <w:pStyle w:val="ListParagraph"/>
        <w:numPr>
          <w:ilvl w:val="0"/>
          <w:numId w:val="2"/>
        </w:numPr>
        <w:spacing w:after="80"/>
      </w:pPr>
      <w:r>
        <w:rPr>
          <w:rFonts w:ascii="Arial" w:cs="Arial" w:eastAsia="Arial" w:hAnsi="Arial"/>
          <w:b/>
          <w:bCs/>
          <w:sz w:val="22"/>
          <w:szCs w:val="22"/>
        </w:rPr>
        <w:t xml:space="preserve">The density program: designed, costed honestly, parked</w:t>
      </w:r>
      <w:r>
        <w:rPr>
          <w:rFonts w:ascii="Arial" w:cs="Arial" w:eastAsia="Arial" w:hAnsi="Arial"/>
          <w:sz w:val="22"/>
          <w:szCs w:val="22"/>
        </w:rPr>
        <w:t xml:space="preserve"> — Sydney expects nothing like it; the manual 2022 run speaks, arguably better (“I did this by hand once; here's what the machine now does for $30”).</w:t>
      </w:r>
    </w:p>
    <w:p>
      <w:pPr>
        <w:pStyle w:val="ListParagraph"/>
        <w:numPr>
          <w:ilvl w:val="0"/>
          <w:numId w:val="2"/>
        </w:numPr>
        <w:spacing w:after="80"/>
      </w:pPr>
      <w:r>
        <w:rPr>
          <w:rFonts w:ascii="Arial" w:cs="Arial" w:eastAsia="Arial" w:hAnsi="Arial"/>
          <w:b/>
          <w:bCs/>
          <w:sz w:val="22"/>
          <w:szCs w:val="22"/>
        </w:rPr>
        <w:t xml:space="preserve">Advisory board: dormant but wanted</w:t>
      </w:r>
      <w:r>
        <w:rPr>
          <w:rFonts w:ascii="Arial" w:cs="Arial" w:eastAsia="Arial" w:hAnsi="Arial"/>
          <w:sz w:val="22"/>
          <w:szCs w:val="22"/>
        </w:rPr>
        <w:t xml:space="preserve"> — recruit beyond the 2024 list (former NYT colleagues; Sydney plausibly fills a chair that list never had).</w:t>
      </w:r>
    </w:p>
    <w:p>
      <w:pPr>
        <w:pStyle w:val="Heading1"/>
        <w:spacing w:after="120" w:before="280"/>
      </w:pPr>
      <w:r>
        <w:rPr>
          <w:rFonts w:ascii="Arial" w:cs="Arial" w:eastAsia="Arial" w:hAnsi="Arial"/>
          <w:b/>
          <w:bCs/>
          <w:sz w:val="28"/>
          <w:szCs w:val="28"/>
        </w:rPr>
        <w:t xml:space="preserve">9. Open questions (September prep)</w:t>
      </w:r>
    </w:p>
    <w:p>
      <w:pPr>
        <w:pStyle w:val="ListParagraph"/>
        <w:numPr>
          <w:ilvl w:val="0"/>
          <w:numId w:val="2"/>
        </w:numPr>
        <w:spacing w:after="80"/>
      </w:pPr>
      <w:r>
        <w:rPr>
          <w:rFonts w:ascii="Arial" w:cs="Arial" w:eastAsia="Arial" w:hAnsi="Arial"/>
          <w:sz w:val="22"/>
          <w:szCs w:val="22"/>
        </w:rPr>
        <w:t xml:space="preserve">The pilot's concrete shape, cost, and duration — the sentence Tony actually says in the room.</w:t>
      </w:r>
    </w:p>
    <w:p>
      <w:pPr>
        <w:pStyle w:val="ListParagraph"/>
        <w:numPr>
          <w:ilvl w:val="0"/>
          <w:numId w:val="2"/>
        </w:numPr>
        <w:spacing w:after="80"/>
      </w:pPr>
      <w:r>
        <w:rPr>
          <w:rFonts w:ascii="Arial" w:cs="Arial" w:eastAsia="Arial" w:hAnsi="Arial"/>
          <w:sz w:val="22"/>
          <w:szCs w:val="22"/>
        </w:rPr>
        <w:t xml:space="preserve">For each of the six ways: what exactly we ask Brown for, and what Brown gets back.</w:t>
      </w:r>
    </w:p>
    <w:p>
      <w:pPr>
        <w:pStyle w:val="ListParagraph"/>
        <w:numPr>
          <w:ilvl w:val="0"/>
          <w:numId w:val="2"/>
        </w:numPr>
        <w:spacing w:after="80"/>
      </w:pPr>
      <w:r>
        <w:rPr>
          <w:rFonts w:ascii="Arial" w:cs="Arial" w:eastAsia="Arial" w:hAnsi="Arial"/>
          <w:sz w:val="22"/>
          <w:szCs w:val="22"/>
        </w:rPr>
        <w:t xml:space="preserve">The medium-readiness criteria — what makes a medium “ready” to enter (the dilution guardrail as policy).</w:t>
      </w:r>
    </w:p>
    <w:p>
      <w:pPr>
        <w:pStyle w:val="ListParagraph"/>
        <w:numPr>
          <w:ilvl w:val="0"/>
          <w:numId w:val="2"/>
        </w:numPr>
        <w:spacing w:after="80"/>
      </w:pPr>
      <w:r>
        <w:rPr>
          <w:rFonts w:ascii="Arial" w:cs="Arial" w:eastAsia="Arial" w:hAnsi="Arial"/>
          <w:sz w:val="22"/>
          <w:szCs w:val="22"/>
        </w:rPr>
        <w:t xml:space="preserve">Whether Sydney sees the pilot video, and with what framing.</w:t>
      </w:r>
    </w:p>
    <w:p>
      <w:pPr>
        <w:pStyle w:val="ListParagraph"/>
        <w:numPr>
          <w:ilvl w:val="0"/>
          <w:numId w:val="2"/>
        </w:numPr>
        <w:spacing w:after="80"/>
      </w:pPr>
      <w:r>
        <w:rPr>
          <w:rFonts w:ascii="Arial" w:cs="Arial" w:eastAsia="Arial" w:hAnsi="Arial"/>
          <w:sz w:val="22"/>
          <w:szCs w:val="22"/>
        </w:rPr>
        <w:t xml:space="preserve">Meagan's read on all of the above — this document exists for that.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Turn %1 —"/>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2026-08-07T14:38:39.505Z</dcterms:created>
  <dcterms:modified xsi:type="dcterms:W3CDTF">2026-08-07T14:38:39.506Z</dcterms:modified>
</cp:coreProperties>
</file>

<file path=docProps/custom.xml><?xml version="1.0" encoding="utf-8"?>
<Properties xmlns="http://schemas.openxmlformats.org/officeDocument/2006/custom-properties" xmlns:vt="http://schemas.openxmlformats.org/officeDocument/2006/docPropsVTypes"/>
</file>