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0"/>
      </w:pPr>
    </w:p>
    <w:p>
      <w:pPr>
        <w:spacing w:after="180"/>
        <w:jc w:val="center"/>
      </w:pPr>
      <w:r>
        <w:rPr>
          <w:rFonts w:ascii="Calibri" w:hAnsi="Calibri" w:eastAsia="Calibri"/>
          <w:b/>
          <w:color w:val="8B5A2B"/>
          <w:sz w:val="18"/>
        </w:rPr>
        <w:t>DESIGN-TEAM BRIEF</w:t>
      </w:r>
    </w:p>
    <w:p>
      <w:pPr>
        <w:pStyle w:val="Title"/>
        <w:jc w:val="center"/>
      </w:pPr>
      <w:r>
        <w:t>The Open Structure</w:t>
      </w:r>
    </w:p>
    <w:p>
      <w:pPr>
        <w:pStyle w:val="Subtitle"/>
        <w:jc w:val="center"/>
      </w:pPr>
      <w:r>
        <w:rPr>
          <w:rFonts w:ascii="Calibri" w:hAnsi="Calibri" w:eastAsia="Calibri"/>
          <w:i/>
        </w:rPr>
        <w:t>Website philosophy, sitemap, editorial system, and production guidance</w:t>
      </w:r>
    </w:p>
    <w:p>
      <w:pPr>
        <w:spacing w:after="440"/>
        <w:jc w:val="center"/>
      </w:pPr>
      <w:r>
        <w:rPr>
          <w:rFonts w:ascii="Calibri" w:hAnsi="Calibri" w:eastAsia="Calibri"/>
          <w:color w:val="716C65"/>
          <w:sz w:val="19"/>
        </w:rPr>
        <w:t>For information architecture, content, UX, visual design, and development</w:t>
      </w:r>
    </w:p>
    <w:p>
      <w:pPr>
        <w:spacing w:after="320"/>
        <w:pBdr>
          <w:bottom w:val="single" w:sz="10" w:space="4" w:color="8B5A2B"/>
        </w:pBdr>
      </w:pPr>
    </w:p>
    <w:p>
      <w:pPr>
        <w:spacing w:before="1600"/>
        <w:jc w:val="center"/>
      </w:pPr>
      <w:r>
        <w:rPr>
          <w:rFonts w:ascii="Calibri" w:hAnsi="Calibri" w:eastAsia="Calibri"/>
          <w:i/>
          <w:color w:val="716C65"/>
          <w:sz w:val="19"/>
        </w:rPr>
        <w:t>Editorial working master for studio and design-team review</w:t>
      </w:r>
    </w:p>
    <w:p>
      <w:r>
        <w:br w:type="page"/>
      </w:r>
    </w:p>
    <w:p>
      <w:pPr>
        <w:pStyle w:val="Heading1"/>
      </w:pPr>
      <w:r>
        <w:t>1. Strategic objective</w:t>
      </w:r>
    </w:p>
    <w:p>
      <w:pPr>
        <w:spacing w:before="120" w:after="200" w:line="288" w:lineRule="auto"/>
        <w:ind w:left="230" w:right="230"/>
        <w:shd w:fill="F4EFE7"/>
        <w:pBdr>
          <w:left w:val="single" w:sz="20" w:space="5" w:color="8B5A2B"/>
        </w:pBdr>
      </w:pPr>
      <w:r>
        <w:rPr>
          <w:rFonts w:ascii="Calibri" w:hAnsi="Calibri" w:eastAsia="Calibri"/>
          <w:b/>
          <w:color w:val="65401F"/>
          <w:sz w:val="18"/>
        </w:rPr>
        <w:t xml:space="preserve">THE JOB OF THE SITE  </w:t>
      </w:r>
      <w:r>
        <w:rPr>
          <w:rFonts w:ascii="Calibri" w:hAnsi="Calibri" w:eastAsia="Calibri"/>
          <w:sz w:val="21"/>
        </w:rPr>
        <w:t>Make the case for Zadikian as a historically consequential participant in postwar American sculpture by allowing the work, chronology, and archival evidence to accumulate. The site should feel like the beginning of serious scholarship, not a campaign for recognition.</w:t>
      </w:r>
    </w:p>
    <w:p>
      <w:pPr>
        <w:keepLines w:val="0"/>
      </w:pPr>
      <w:r>
        <w:rPr>
          <w:rFonts w:ascii="Calibri" w:hAnsi="Calibri" w:eastAsia="Calibri"/>
          <w:i w:val="0"/>
        </w:rPr>
        <w:t>The current site contains a broad image archive and several valuable first-person texts, but its flat collection list does not explain the career. The redesign must create a retrospective path through the work while preserving a complete index for scholars, curators, and collectors. The governing story is the movement between figure and field: body, room, unit, serial structure, gravity-formed face, and open color system.</w:t>
      </w:r>
    </w:p>
    <w:p>
      <w:pPr>
        <w:keepLines w:val="0"/>
      </w:pPr>
      <w:r>
        <w:rPr>
          <w:rFonts w:ascii="Calibri" w:hAnsi="Calibri" w:eastAsia="Calibri"/>
          <w:i w:val="0"/>
        </w:rPr>
        <w:t>The escape from Soviet Armenia should enter through biography, chronology, and a restrained interpretive passage. It must never function as a cinematic homepage device or a shortcut to significance. The public argument is that the work transforms conditions of rupture into a formal language of portable units, repeatable actions, and structures that can be remade.</w:t>
      </w:r>
    </w:p>
    <w:p>
      <w:pPr>
        <w:pStyle w:val="Heading1"/>
      </w:pPr>
      <w:r>
        <w:t>2. Audiences and reading modes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560"/>
        <w:gridCol w:w="3600"/>
      </w:tblGrid>
      <w:tr>
        <w:trPr>
          <w:tblHeader w:val="true"/>
        </w:trPr>
        <w:tc>
          <w:tcPr>
            <w:tcW w:type="dxa" w:w="2200"/>
            <w:shd w:fill="F4EFE7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65401F"/>
                <w:sz w:val="17"/>
              </w:rPr>
              <w:t>Audience</w:t>
            </w:r>
          </w:p>
        </w:tc>
        <w:tc>
          <w:tcPr>
            <w:tcW w:type="dxa" w:w="3560"/>
            <w:shd w:fill="F4EFE7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65401F"/>
                <w:sz w:val="17"/>
              </w:rPr>
              <w:t>They need</w:t>
            </w:r>
          </w:p>
        </w:tc>
        <w:tc>
          <w:tcPr>
            <w:tcW w:type="dxa" w:w="3600"/>
            <w:shd w:fill="F4EFE7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65401F"/>
                <w:sz w:val="17"/>
              </w:rPr>
              <w:t>The site should produce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Curators and scholars</w:t>
            </w:r>
          </w:p>
        </w:tc>
        <w:tc>
          <w:tcPr>
            <w:tcW w:type="dxa" w:w="35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Evidence, chronology, archival images, series development, sources</w:t>
            </w:r>
          </w:p>
        </w:tc>
        <w:tc>
          <w:tcPr>
            <w:tcW w:type="dxa" w:w="36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A coherent career that warrants research and exhibition.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Collectors and advisors</w:t>
            </w:r>
          </w:p>
        </w:tc>
        <w:tc>
          <w:tcPr>
            <w:tcW w:type="dxa" w:w="35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Major works, scale, material, institutional trajectory, stewardship</w:t>
            </w:r>
          </w:p>
        </w:tc>
        <w:tc>
          <w:tcPr>
            <w:tcW w:type="dxa" w:w="36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Confidence built through precision rather than sales language.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Press and writers</w:t>
            </w:r>
          </w:p>
        </w:tc>
        <w:tc>
          <w:tcPr>
            <w:tcW w:type="dxa" w:w="35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Short biography, statement, press images, captions, current projects</w:t>
            </w:r>
          </w:p>
        </w:tc>
        <w:tc>
          <w:tcPr>
            <w:tcW w:type="dxa" w:w="36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Clear facts and usable language without inflated claims.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General public</w:t>
            </w:r>
          </w:p>
        </w:tc>
        <w:tc>
          <w:tcPr>
            <w:tcW w:type="dxa" w:w="35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Immediate visual sequence, concise texts, process, touch, color</w:t>
            </w:r>
          </w:p>
        </w:tc>
        <w:tc>
          <w:tcPr>
            <w:tcW w:type="dxa" w:w="36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A legible encounter with an ambitious and humane practice.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Studio and estate</w:t>
            </w:r>
          </w:p>
        </w:tc>
        <w:tc>
          <w:tcPr>
            <w:tcW w:type="dxa" w:w="35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Maintainable inventory, rights, loans, exhibitions, bibliography</w:t>
            </w:r>
          </w:p>
        </w:tc>
        <w:tc>
          <w:tcPr>
            <w:tcW w:type="dxa" w:w="36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A durable publishing system rather than a one-time redesign.</w:t>
            </w:r>
          </w:p>
        </w:tc>
      </w:tr>
    </w:tbl>
    <w:p>
      <w:pPr>
        <w:spacing w:after="0"/>
      </w:pPr>
    </w:p>
    <w:p>
      <w:pPr>
        <w:pStyle w:val="Heading1"/>
      </w:pPr>
      <w:r>
        <w:t>3. Recommended sitemap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2250"/>
        <w:gridCol w:w="5760"/>
      </w:tblGrid>
      <w:tr>
        <w:trPr>
          <w:tblHeader w:val="true"/>
        </w:trPr>
        <w:tc>
          <w:tcPr>
            <w:tcW w:type="dxa" w:w="1350"/>
            <w:shd w:fill="F4EFE7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65401F"/>
                <w:sz w:val="17"/>
              </w:rPr>
              <w:t>Section</w:t>
            </w:r>
          </w:p>
        </w:tc>
        <w:tc>
          <w:tcPr>
            <w:tcW w:type="dxa" w:w="2250"/>
            <w:shd w:fill="F4EFE7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65401F"/>
                <w:sz w:val="17"/>
              </w:rPr>
              <w:t>Page</w:t>
            </w:r>
          </w:p>
        </w:tc>
        <w:tc>
          <w:tcPr>
            <w:tcW w:type="dxa" w:w="5760"/>
            <w:shd w:fill="F4EFE7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65401F"/>
                <w:sz w:val="17"/>
              </w:rPr>
              <w:t>Purpose / content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Home</w:t>
            </w:r>
          </w:p>
        </w:tc>
        <w:tc>
          <w:tcPr>
            <w:tcW w:type="dxa" w:w="22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Editorial overview</w:t>
            </w:r>
          </w:p>
        </w:tc>
        <w:tc>
          <w:tcPr>
            <w:tcW w:type="dxa" w:w="57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Name, current work, two-sentence thesis, five retrospective chapters, current institutional project, selected chronology, latest text.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Work</w:t>
            </w:r>
          </w:p>
        </w:tc>
        <w:tc>
          <w:tcPr>
            <w:tcW w:type="dxa" w:w="22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Selected Works</w:t>
            </w:r>
          </w:p>
        </w:tc>
        <w:tc>
          <w:tcPr>
            <w:tcW w:type="dxa" w:w="57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A curated sequence of 25-40 works that establishes the entire arc before any series taxonomy.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Work</w:t>
            </w:r>
          </w:p>
        </w:tc>
        <w:tc>
          <w:tcPr>
            <w:tcW w:type="dxa" w:w="22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Ground / Figure</w:t>
            </w:r>
          </w:p>
        </w:tc>
        <w:tc>
          <w:tcPr>
            <w:tcW w:type="dxa" w:w="57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Figures, portraits, studies, La Brea; the body as first measure.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Work</w:t>
            </w:r>
          </w:p>
        </w:tc>
        <w:tc>
          <w:tcPr>
            <w:tcW w:type="dxa" w:w="22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Field / Space</w:t>
            </w:r>
          </w:p>
        </w:tc>
        <w:tc>
          <w:tcPr>
            <w:tcW w:type="dxa" w:w="57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112 Greene, gilded rooms, architectural interventions, Solis; sculpture as environmental condition.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Work</w:t>
            </w:r>
          </w:p>
        </w:tc>
        <w:tc>
          <w:tcPr>
            <w:tcW w:type="dxa" w:w="22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Unit / Structure</w:t>
            </w:r>
          </w:p>
        </w:tc>
        <w:tc>
          <w:tcPr>
            <w:tcW w:type="dxa" w:w="57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Gold stacks, aluminum stacks, Path to Nine, Made in USA; brick, interval, seriality, portability.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Work</w:t>
            </w:r>
          </w:p>
        </w:tc>
        <w:tc>
          <w:tcPr>
            <w:tcW w:type="dxa" w:w="22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Body / Emergence</w:t>
            </w:r>
          </w:p>
        </w:tc>
        <w:tc>
          <w:tcPr>
            <w:tcW w:type="dxa" w:w="57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Foreigners, shell casts, selected figures; gravity, action, casting, recognizable form.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Work</w:t>
            </w:r>
          </w:p>
        </w:tc>
        <w:tc>
          <w:tcPr>
            <w:tcW w:type="dxa" w:w="22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Open Structure</w:t>
            </w:r>
          </w:p>
        </w:tc>
        <w:tc>
          <w:tcPr>
            <w:tcW w:type="dxa" w:w="57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Waves, pigment blocks, The Studio; color, touch, rearrangement, participation.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Work</w:t>
            </w:r>
          </w:p>
        </w:tc>
        <w:tc>
          <w:tcPr>
            <w:tcW w:type="dxa" w:w="22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Objects / Use</w:t>
            </w:r>
          </w:p>
        </w:tc>
        <w:tc>
          <w:tcPr>
            <w:tcW w:type="dxa" w:w="57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Functional work, objects, palm, plateau, Love on the Beat; publish after studio inventory.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Work</w:t>
            </w:r>
          </w:p>
        </w:tc>
        <w:tc>
          <w:tcPr>
            <w:tcW w:type="dxa" w:w="22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All Works / Series Index</w:t>
            </w:r>
          </w:p>
        </w:tc>
        <w:tc>
          <w:tcPr>
            <w:tcW w:type="dxa" w:w="57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Alphabetical and chronological access to every legacy collection and object record.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Artist</w:t>
            </w:r>
          </w:p>
        </w:tc>
        <w:tc>
          <w:tcPr>
            <w:tcW w:type="dxa" w:w="22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Biography</w:t>
            </w:r>
          </w:p>
        </w:tc>
        <w:tc>
          <w:tcPr>
            <w:tcW w:type="dxa" w:w="57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Concise biography plus expandable long chronology; restrained account of migration and return.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Artist</w:t>
            </w:r>
          </w:p>
        </w:tc>
        <w:tc>
          <w:tcPr>
            <w:tcW w:type="dxa" w:w="22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Statements</w:t>
            </w:r>
          </w:p>
        </w:tc>
        <w:tc>
          <w:tcPr>
            <w:tcW w:type="dxa" w:w="57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Artist statement, work statement, and selected historical texts.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Artist</w:t>
            </w:r>
          </w:p>
        </w:tc>
        <w:tc>
          <w:tcPr>
            <w:tcW w:type="dxa" w:w="22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Chronology / CV</w:t>
            </w:r>
          </w:p>
        </w:tc>
        <w:tc>
          <w:tcPr>
            <w:tcW w:type="dxa" w:w="57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Verified life and exhibition chronology; downloadable PDF.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Exhibitions</w:t>
            </w:r>
          </w:p>
        </w:tc>
        <w:tc>
          <w:tcPr>
            <w:tcW w:type="dxa" w:w="22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Current and selected</w:t>
            </w:r>
          </w:p>
        </w:tc>
        <w:tc>
          <w:tcPr>
            <w:tcW w:type="dxa" w:w="57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Venice 2026 first; selected institutional history; separate archive for full list.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Texts</w:t>
            </w:r>
          </w:p>
        </w:tc>
        <w:tc>
          <w:tcPr>
            <w:tcW w:type="dxa" w:w="22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Essays / interviews / press</w:t>
            </w:r>
          </w:p>
        </w:tc>
        <w:tc>
          <w:tcPr>
            <w:tcW w:type="dxa" w:w="57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Commissioned criticism, primary interviews, and selected press organized by type.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Studio</w:t>
            </w:r>
          </w:p>
        </w:tc>
        <w:tc>
          <w:tcPr>
            <w:tcW w:type="dxa" w:w="22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Process / films</w:t>
            </w:r>
          </w:p>
        </w:tc>
        <w:tc>
          <w:tcPr>
            <w:tcW w:type="dxa" w:w="57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Casting, gilding, gravity-forming, stacking, handling, and installation.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Information</w:t>
            </w:r>
          </w:p>
        </w:tc>
        <w:tc>
          <w:tcPr>
            <w:tcW w:type="dxa" w:w="22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News / contact / press resources</w:t>
            </w:r>
          </w:p>
        </w:tc>
        <w:tc>
          <w:tcPr>
            <w:tcW w:type="dxa" w:w="57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Announcements, professional contact, press kit, image-rights procedure.</w:t>
            </w:r>
          </w:p>
        </w:tc>
      </w:tr>
    </w:tbl>
    <w:p>
      <w:pPr>
        <w:spacing w:after="0"/>
      </w:pPr>
    </w:p>
    <w:p>
      <w:pPr>
        <w:pStyle w:val="Heading1"/>
      </w:pPr>
      <w:r>
        <w:t>4. Homepage narrative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2200"/>
        <w:gridCol w:w="6310"/>
      </w:tblGrid>
      <w:tr>
        <w:trPr>
          <w:tblHeader w:val="true"/>
        </w:trPr>
        <w:tc>
          <w:tcPr>
            <w:tcW w:type="dxa" w:w="850"/>
            <w:shd w:fill="F4EFE7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65401F"/>
                <w:sz w:val="17"/>
              </w:rPr>
              <w:t>Order</w:t>
            </w:r>
          </w:p>
        </w:tc>
        <w:tc>
          <w:tcPr>
            <w:tcW w:type="dxa" w:w="2200"/>
            <w:shd w:fill="F4EFE7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65401F"/>
                <w:sz w:val="17"/>
              </w:rPr>
              <w:t>Module</w:t>
            </w:r>
          </w:p>
        </w:tc>
        <w:tc>
          <w:tcPr>
            <w:tcW w:type="dxa" w:w="6310"/>
            <w:shd w:fill="F4EFE7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65401F"/>
                <w:sz w:val="17"/>
              </w:rPr>
              <w:t>Editorial job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1</w:t>
            </w:r>
          </w:p>
        </w:tc>
        <w:tc>
          <w:tcPr>
            <w:tcW w:type="dxa" w:w="22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Opening image</w:t>
            </w:r>
          </w:p>
        </w:tc>
        <w:tc>
          <w:tcPr>
            <w:tcW w:type="dxa" w:w="631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A major work with spatial presence. Do not default to a portrait, escape imagery, or a gold montage.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2</w:t>
            </w:r>
          </w:p>
        </w:tc>
        <w:tc>
          <w:tcPr>
            <w:tcW w:type="dxa" w:w="22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Thesis</w:t>
            </w:r>
          </w:p>
        </w:tc>
        <w:tc>
          <w:tcPr>
            <w:tcW w:type="dxa" w:w="631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Two sentences: body and system; repetition as difference; open structure as the career's through-line.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3</w:t>
            </w:r>
          </w:p>
        </w:tc>
        <w:tc>
          <w:tcPr>
            <w:tcW w:type="dxa" w:w="22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Five chapters</w:t>
            </w:r>
          </w:p>
        </w:tc>
        <w:tc>
          <w:tcPr>
            <w:tcW w:type="dxa" w:w="631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Ground, Field, Unit, Body, Open Structure. Each chapter gets one full image, a 35-60 word text, and a direct work link.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4</w:t>
            </w:r>
          </w:p>
        </w:tc>
        <w:tc>
          <w:tcPr>
            <w:tcW w:type="dxa" w:w="22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Historical anchor</w:t>
            </w:r>
          </w:p>
        </w:tc>
        <w:tc>
          <w:tcPr>
            <w:tcW w:type="dxa" w:w="631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A restrained archival band: 112 Greene Street, MoMA PS1, the Serra collaboration, and The New Portrait.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5</w:t>
            </w:r>
          </w:p>
        </w:tc>
        <w:tc>
          <w:tcPr>
            <w:tcW w:type="dxa" w:w="22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Current work</w:t>
            </w:r>
          </w:p>
        </w:tc>
        <w:tc>
          <w:tcPr>
            <w:tcW w:type="dxa" w:w="631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The Studio at Venice, presented as a continuation of casting, blocks, touch, and change.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6</w:t>
            </w:r>
          </w:p>
        </w:tc>
        <w:tc>
          <w:tcPr>
            <w:tcW w:type="dxa" w:w="22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Institutional sequence</w:t>
            </w:r>
          </w:p>
        </w:tc>
        <w:tc>
          <w:tcPr>
            <w:tcW w:type="dxa" w:w="631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Brooklyn, Cafesjian, Independent, Venice. Use dates and roles; do not imply acquisition.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7</w:t>
            </w:r>
          </w:p>
        </w:tc>
        <w:tc>
          <w:tcPr>
            <w:tcW w:type="dxa" w:w="22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Latest text</w:t>
            </w:r>
          </w:p>
        </w:tc>
        <w:tc>
          <w:tcPr>
            <w:tcW w:type="dxa" w:w="631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Canvas interview or a commissioned critical essay.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8</w:t>
            </w:r>
          </w:p>
        </w:tc>
        <w:tc>
          <w:tcPr>
            <w:tcW w:type="dxa" w:w="22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Footer</w:t>
            </w:r>
          </w:p>
        </w:tc>
        <w:tc>
          <w:tcPr>
            <w:tcW w:type="dxa" w:w="631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Contact, press resources, rights, social link, newsletter if actively maintained.</w:t>
            </w:r>
          </w:p>
        </w:tc>
      </w:tr>
    </w:tbl>
    <w:p>
      <w:pPr>
        <w:spacing w:after="0"/>
      </w:pPr>
    </w:p>
    <w:p>
      <w:pPr>
        <w:pStyle w:val="Heading1"/>
      </w:pPr>
      <w:r>
        <w:t>5. Work navigation: curated path plus complete index</w:t>
      </w:r>
    </w:p>
    <w:p>
      <w:pPr>
        <w:keepLines w:val="0"/>
      </w:pPr>
      <w:r>
        <w:rPr>
          <w:rFonts w:ascii="Calibri" w:hAnsi="Calibri" w:eastAsia="Calibri"/>
          <w:i w:val="0"/>
        </w:rPr>
        <w:t>Do not reproduce the current seventeen-item grid as the primary experience. It treats major historical bodies and undeveloped image folders as equivalent. The primary Work page should be a curated retrospective sequence organized by the five chapters. A secondary All Works / Series Index should preserve every collection name, legacy URL, and object record.</w:t>
      </w:r>
    </w:p>
    <w:p>
      <w:pPr>
        <w:spacing w:before="120" w:after="200" w:line="288" w:lineRule="auto"/>
        <w:ind w:left="230" w:right="230"/>
        <w:shd w:fill="F4EFE7"/>
        <w:pBdr>
          <w:left w:val="single" w:sz="20" w:space="5" w:color="8B5A2B"/>
        </w:pBdr>
      </w:pPr>
      <w:r>
        <w:rPr>
          <w:rFonts w:ascii="Calibri" w:hAnsi="Calibri" w:eastAsia="Calibri"/>
          <w:b/>
          <w:color w:val="65401F"/>
          <w:sz w:val="18"/>
        </w:rPr>
        <w:t xml:space="preserve">INFORMATION-ARCHITECTURE RULE  </w:t>
      </w:r>
      <w:r>
        <w:rPr>
          <w:rFonts w:ascii="Calibri" w:hAnsi="Calibri" w:eastAsia="Calibri"/>
          <w:sz w:val="21"/>
        </w:rPr>
        <w:t>Chronology explains evolution; themes explain continuity. The new site needs both. Use the chapter structure for the main narrative and chronological filters inside the complete index.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</w:rPr>
        <w:t>Every legacy collection URL should redirect to its new destination so existing links and search history are preserved.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</w:rPr>
        <w:t>A work can belong to more than one chapter. Foreigners can appear under Body / Emergence and in process filters; Waves can bridge Unit / Structure and Open Structure.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</w:rPr>
        <w:t>Do not publish all Studies at equal scale. Build edited sequences of 12-20 images with a path to the deeper archive.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</w:rPr>
        <w:t>Separate artworks from process photographs, installation views, studio documentation, and ephemera.</w:t>
      </w:r>
    </w:p>
    <w:p>
      <w:pPr>
        <w:pStyle w:val="Heading1"/>
      </w:pPr>
      <w:r>
        <w:t>6. Page templates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4EFE7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65401F"/>
                <w:sz w:val="17"/>
              </w:rPr>
              <w:t>Template</w:t>
            </w:r>
          </w:p>
        </w:tc>
        <w:tc>
          <w:tcPr>
            <w:tcW w:type="dxa" w:w="7160"/>
            <w:shd w:fill="F4EFE7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65401F"/>
                <w:sz w:val="17"/>
              </w:rPr>
              <w:t>Required components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Work detail</w:t>
            </w:r>
          </w:p>
        </w:tc>
        <w:tc>
          <w:tcPr>
            <w:tcW w:type="dxa" w:w="71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Title; date; medium; dimensions; edition; hero image; views/details; 80-160 word text; exhibition history; bibliography; credits; related works.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Series / chapter</w:t>
            </w:r>
          </w:p>
        </w:tc>
        <w:tc>
          <w:tcPr>
            <w:tcW w:type="dxa" w:w="71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Short thesis; year range; defining operations; selected works; process material; chronology markers; related chapters.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Exhibition</w:t>
            </w:r>
          </w:p>
        </w:tc>
        <w:tc>
          <w:tcPr>
            <w:tcW w:type="dxa" w:w="71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Venue; dates; role; curator; checklist; installation views; commissioned text; press; credits; acquisition status if confirmed.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Essay / interview</w:t>
            </w:r>
          </w:p>
        </w:tc>
        <w:tc>
          <w:tcPr>
            <w:tcW w:type="dxa" w:w="71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Author; date; publication; reading time; full text or excerpt by permission; works discussed; citations.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Chronology</w:t>
            </w:r>
          </w:p>
        </w:tc>
        <w:tc>
          <w:tcPr>
            <w:tcW w:type="dxa" w:w="71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Year; place; event; type; verification source; related works; archive links.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Press resource</w:t>
            </w:r>
          </w:p>
        </w:tc>
        <w:tc>
          <w:tcPr>
            <w:tcW w:type="dxa" w:w="71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Approved bios; statements; CV; image selects; captions; copyright; download terms; contact.</w:t>
            </w:r>
          </w:p>
        </w:tc>
      </w:tr>
    </w:tbl>
    <w:p>
      <w:pPr>
        <w:spacing w:after="0"/>
      </w:pPr>
    </w:p>
    <w:p>
      <w:pPr>
        <w:pStyle w:val="Heading1"/>
      </w:pPr>
      <w:r>
        <w:t>7. Collection and object metadata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F4EFE7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65401F"/>
                <w:sz w:val="17"/>
              </w:rPr>
              <w:t>Field group</w:t>
            </w:r>
          </w:p>
        </w:tc>
        <w:tc>
          <w:tcPr>
            <w:tcW w:type="dxa" w:w="7460"/>
            <w:shd w:fill="F4EFE7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65401F"/>
                <w:sz w:val="17"/>
              </w:rPr>
              <w:t>Fields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Identity</w:t>
            </w:r>
          </w:p>
        </w:tc>
        <w:tc>
          <w:tcPr>
            <w:tcW w:type="dxa" w:w="74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Preferred title; alternate title; year or year range; series; unique/edition status; signature/inscriptions.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Object</w:t>
            </w:r>
          </w:p>
        </w:tc>
        <w:tc>
          <w:tcPr>
            <w:tcW w:type="dxa" w:w="74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Exact medium; support; surface; casting method; component count; dimensions; weight; installation footprint.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History</w:t>
            </w:r>
          </w:p>
        </w:tc>
        <w:tc>
          <w:tcPr>
            <w:tcW w:type="dxa" w:w="74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Provenance; exhibitions; literature; commissions; collections; related archival documents.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Images</w:t>
            </w:r>
          </w:p>
        </w:tc>
        <w:tc>
          <w:tcPr>
            <w:tcW w:type="dxa" w:w="74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View type; photographer; date; location; copyright; reproduction permission; alt text; crop restrictions.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Editorial</w:t>
            </w:r>
          </w:p>
        </w:tc>
        <w:tc>
          <w:tcPr>
            <w:tcW w:type="dxa" w:w="74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Short description; long text; process notes; chapter tags; related works; evidence status.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Operations</w:t>
            </w:r>
          </w:p>
        </w:tc>
        <w:tc>
          <w:tcPr>
            <w:tcW w:type="dxa" w:w="74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7"/>
              </w:rPr>
              <w:t>Packing; handling; mounting; installation; conservation; contact for loans and rights. Keep nonpublic fields private.</w:t>
            </w:r>
          </w:p>
        </w:tc>
      </w:tr>
    </w:tbl>
    <w:p>
      <w:pPr>
        <w:spacing w:after="0"/>
      </w:pPr>
    </w:p>
    <w:p>
      <w:pPr>
        <w:pStyle w:val="Heading1"/>
      </w:pPr>
      <w:r>
        <w:t>8. Visual direction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b/>
          <w:color w:val="3D3A36"/>
        </w:rPr>
        <w:t>Use an austere editorial system:</w:t>
      </w:r>
      <w:r>
        <w:rPr>
          <w:rFonts w:ascii="Calibri" w:hAnsi="Calibri" w:eastAsia="Calibri"/>
        </w:rPr>
        <w:t xml:space="preserve"> warm white, black, calibrated gray, and one muted oxide accent. Let gold and color come from the artworks, not from decorative interface effects.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b/>
          <w:color w:val="3D3A36"/>
        </w:rPr>
        <w:t>Pair one contemporary grotesk sans serif with one restrained reading serif at most.</w:t>
      </w:r>
      <w:r>
        <w:rPr>
          <w:rFonts w:ascii="Calibri" w:hAnsi="Calibri" w:eastAsia="Calibri"/>
        </w:rPr>
        <w:t xml:space="preserve"> Typography should feel archival and current, not luxury-branded.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b/>
          <w:color w:val="3D3A36"/>
        </w:rPr>
        <w:t>Favor generous margins, full-width installation views, and disciplined caption placement.</w:t>
      </w:r>
      <w:r>
        <w:rPr>
          <w:rFonts w:ascii="Calibri" w:hAnsi="Calibri" w:eastAsia="Calibri"/>
        </w:rPr>
        <w:t xml:space="preserve"> Scale should be felt through bodies, doorways, rooms, and details.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b/>
          <w:color w:val="3D3A36"/>
        </w:rPr>
        <w:t>Use motion only to support duration and sequence:</w:t>
      </w:r>
      <w:r>
        <w:rPr>
          <w:rFonts w:ascii="Calibri" w:hAnsi="Calibri" w:eastAsia="Calibri"/>
        </w:rPr>
        <w:t xml:space="preserve"> slow fades, measured image changes, and optional process video. No glitter, parallax spectacle, simulated gold, floating particles, or cinematic escape reenactment.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b/>
          <w:color w:val="3D3A36"/>
        </w:rPr>
        <w:t>Show chronology through visual recurrence:</w:t>
      </w:r>
      <w:r>
        <w:rPr>
          <w:rFonts w:ascii="Calibri" w:hAnsi="Calibri" w:eastAsia="Calibri"/>
        </w:rPr>
        <w:t xml:space="preserve"> room to block, block to stack, stack to body, body to movable color. Avoid a single uninterrupted wall of gold images.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b/>
          <w:color w:val="3D3A36"/>
        </w:rPr>
        <w:t>Design captions as primary scholarship, not footnotes.</w:t>
      </w:r>
      <w:r>
        <w:rPr>
          <w:rFonts w:ascii="Calibri" w:hAnsi="Calibri" w:eastAsia="Calibri"/>
        </w:rPr>
        <w:t xml:space="preserve"> They must remain legible on mobile and visible without hovering.</w:t>
      </w:r>
    </w:p>
    <w:p>
      <w:pPr>
        <w:pStyle w:val="Heading1"/>
      </w:pPr>
      <w:r>
        <w:t>9. Editorial tone</w:t>
      </w:r>
    </w:p>
    <w:p>
      <w:pPr>
        <w:spacing w:before="120" w:after="200" w:line="288" w:lineRule="auto"/>
        <w:ind w:left="230" w:right="230"/>
        <w:shd w:fill="F4EFE7"/>
        <w:pBdr>
          <w:left w:val="single" w:sz="20" w:space="5" w:color="8B5A2B"/>
        </w:pBdr>
      </w:pPr>
      <w:r>
        <w:rPr>
          <w:rFonts w:ascii="Calibri" w:hAnsi="Calibri" w:eastAsia="Calibri"/>
          <w:b/>
          <w:color w:val="65401F"/>
          <w:sz w:val="18"/>
        </w:rPr>
        <w:t xml:space="preserve">TONE  </w:t>
      </w:r>
      <w:r>
        <w:rPr>
          <w:rFonts w:ascii="Calibri" w:hAnsi="Calibri" w:eastAsia="Calibri"/>
          <w:sz w:val="21"/>
        </w:rPr>
        <w:t>Assured, exact, material, and historically literate. The writing should make a strong case without announcing that it is making one.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50"/>
        <w:gridCol w:w="3550"/>
        <w:gridCol w:w="3360"/>
      </w:tblGrid>
      <w:tr>
        <w:trPr>
          <w:tblHeader w:val="true"/>
        </w:trPr>
        <w:tc>
          <w:tcPr>
            <w:tcW w:type="dxa" w:w="2450"/>
            <w:shd w:fill="F4EFE7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65401F"/>
                <w:sz w:val="17"/>
              </w:rPr>
              <w:t>Principle</w:t>
            </w:r>
          </w:p>
        </w:tc>
        <w:tc>
          <w:tcPr>
            <w:tcW w:type="dxa" w:w="3550"/>
            <w:shd w:fill="F4EFE7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65401F"/>
                <w:sz w:val="17"/>
              </w:rPr>
              <w:t>Use</w:t>
            </w:r>
          </w:p>
        </w:tc>
        <w:tc>
          <w:tcPr>
            <w:tcW w:type="dxa" w:w="3360"/>
            <w:shd w:fill="F4EFE7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65401F"/>
                <w:sz w:val="17"/>
              </w:rPr>
              <w:t>Avoid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Lead with operations</w:t>
            </w:r>
          </w:p>
        </w:tc>
        <w:tc>
          <w:tcPr>
            <w:tcW w:type="dxa" w:w="35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Casting, covering, throwing, repeating, stacking, touching, rearranging</w:t>
            </w:r>
          </w:p>
        </w:tc>
        <w:tc>
          <w:tcPr>
            <w:tcW w:type="dxa" w:w="33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Generic claims about transcendence or innovation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Let evidence carry stature</w:t>
            </w:r>
          </w:p>
        </w:tc>
        <w:tc>
          <w:tcPr>
            <w:tcW w:type="dxa" w:w="35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Dates, venues, archives, collaborator testimony, installation facts</w:t>
            </w:r>
          </w:p>
        </w:tc>
        <w:tc>
          <w:tcPr>
            <w:tcW w:type="dxa" w:w="33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Legendary, seminal, iconic, genius, groundbreaking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Treat biography obliquely</w:t>
            </w:r>
          </w:p>
        </w:tc>
        <w:tc>
          <w:tcPr>
            <w:tcW w:type="dxa" w:w="35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Rupture, portable form, reconstruction, return</w:t>
            </w:r>
          </w:p>
        </w:tc>
        <w:tc>
          <w:tcPr>
            <w:tcW w:type="dxa" w:w="33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Heroic escape narrative repeated across pages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Use art history strategically</w:t>
            </w:r>
          </w:p>
        </w:tc>
        <w:tc>
          <w:tcPr>
            <w:tcW w:type="dxa" w:w="35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One precise comparison in an essay when it clarifies a method</w:t>
            </w:r>
          </w:p>
        </w:tc>
        <w:tc>
          <w:tcPr>
            <w:tcW w:type="dxa" w:w="33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Name-dropping in homepage or work captions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Keep market language private</w:t>
            </w:r>
          </w:p>
        </w:tc>
        <w:tc>
          <w:tcPr>
            <w:tcW w:type="dxa" w:w="355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Professional collection and loan information</w:t>
            </w:r>
          </w:p>
        </w:tc>
        <w:tc>
          <w:tcPr>
            <w:tcW w:type="dxa" w:w="3360"/>
            <w:tcBorders>
              <w:top w:val="single" w:sz="4" w:color="D8D0C5"/>
              <w:left w:val="single" w:sz="4" w:color="D8D0C5"/>
              <w:bottom w:val="single" w:sz="4" w:color="D8D0C5"/>
              <w:right w:val="single" w:sz="4" w:color="D8D0C5"/>
              <w:insideH w:val="single" w:sz="4" w:color="D8D0C5"/>
              <w:insideV w:val="single" w:sz="4" w:color="D8D0C5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Calibri"/>
                <w:sz w:val="16"/>
              </w:rPr>
              <w:t>Prices, investment language, scarcity rhetoric on the public site</w:t>
            </w:r>
          </w:p>
        </w:tc>
      </w:tr>
    </w:tbl>
    <w:p>
      <w:pPr>
        <w:spacing w:after="0"/>
      </w:pPr>
    </w:p>
    <w:p>
      <w:pPr>
        <w:pStyle w:val="Heading1"/>
      </w:pPr>
      <w:r>
        <w:t>10. Canon-positioning protocol</w:t>
      </w:r>
    </w:p>
    <w:p>
      <w:pPr>
        <w:keepLines w:val="0"/>
      </w:pPr>
      <w:r>
        <w:rPr>
          <w:rFonts w:ascii="Calibri" w:hAnsi="Calibri" w:eastAsia="Calibri"/>
          <w:i w:val="0"/>
        </w:rPr>
        <w:t>The site should present Zadikian as a participant in the historical field before describing him as an omission from it. The public proof sequence is: early New York venue; total-space work; MoMA PS1 record; documented Serra collaboration; return of the figure; long development of serial gold structures; renewed institutional sequence; open color work in Venice. This establishes continuity and consequence.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</w:rPr>
        <w:t>Homepage: one restrained line about his place inside the experimental field of Minimalism and post-Minimalism.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</w:rPr>
        <w:t>Biography: dates, places, training, migration, key exhibitions, and collaborators; no extended theoretical comparison.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</w:rPr>
        <w:t>Work statement: the precise Minimalism/post-Minimalism argument.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</w:rPr>
        <w:t>Chronology: documentary evidence and links.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</w:rPr>
        <w:t>Commissioned essays: deeper comparisons to Cezanne, Newman, Rothko, Rauschenberg, Johns, Warhol, Christo, and other relevant figures.</w:t>
      </w:r>
    </w:p>
    <w:p>
      <w:pPr>
        <w:spacing w:before="120" w:after="200" w:line="288" w:lineRule="auto"/>
        <w:ind w:left="230" w:right="230"/>
        <w:shd w:fill="F4EFE7"/>
        <w:pBdr>
          <w:left w:val="single" w:sz="20" w:space="5" w:color="8B5A2B"/>
        </w:pBdr>
      </w:pPr>
      <w:r>
        <w:rPr>
          <w:rFonts w:ascii="Calibri" w:hAnsi="Calibri" w:eastAsia="Calibri"/>
          <w:b/>
          <w:color w:val="65401F"/>
          <w:sz w:val="18"/>
        </w:rPr>
        <w:t xml:space="preserve">PREFERRED PUBLIC CLAIM  </w:t>
      </w:r>
      <w:r>
        <w:rPr>
          <w:rFonts w:ascii="Calibri" w:hAnsi="Calibri" w:eastAsia="Calibri"/>
          <w:sz w:val="21"/>
        </w:rPr>
        <w:t>Zadikian developed within the experimental New York field of Minimalism and post-Minimalism, then extended its serial and spatial vocabularies through gold, gravity, the human figure, and participatory structure.</w:t>
      </w:r>
    </w:p>
    <w:p>
      <w:pPr>
        <w:pStyle w:val="Heading1"/>
      </w:pPr>
      <w:r>
        <w:t>11. Content production plan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Calibri"/>
        </w:rPr>
        <w:t>Lock the facts. Resolve birth year, migration chronology, early gold dates, Path to Nine count, and the complete exhibition record.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Calibri"/>
        </w:rPr>
        <w:t>Inventory the archive. Assign a stable record to every artwork, installation view, process image, document, and text.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Calibri"/>
        </w:rPr>
        <w:t>Edit the retrospective sequence. Select the 25-40 works that make the five-chapter argument before designing screens.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Calibri"/>
        </w:rPr>
        <w:t>Commission missing photography. Prioritize early figurative works, room-scale pieces, stack variations, gravity-forming process, and the newest color works.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Calibri"/>
        </w:rPr>
        <w:t>Clear rights. Record photographers, permissions, captions, and crop restrictions before image design begins.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Calibri"/>
        </w:rPr>
        <w:t>Prototype the narrative. Test desktop and mobile versions of Home, Work chapter, Work detail, and Chronology before extending the system.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Calibri"/>
        </w:rPr>
        <w:t>Run a curatorial QA. Check every canonical claim, venue role, date, collection reference, and acquisition implication.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Calibri"/>
        </w:rPr>
        <w:t>Launch with redirects and an editorial calendar. Preserve all old URLs and plan regular updates around Venice, essays, loans, and new work.</w:t>
      </w:r>
    </w:p>
    <w:p>
      <w:pPr>
        <w:pStyle w:val="Heading1"/>
      </w:pPr>
      <w:r>
        <w:t>12. Launch content checklist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</w:rPr>
        <w:t>Approved long and short artist statements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</w:rPr>
        <w:t>Approved work statement and two-sentence homepage thesis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</w:rPr>
        <w:t>Verified short and long biography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</w:rPr>
        <w:t>Verified chronology and current CV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</w:rPr>
        <w:t>Five chapter introductions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</w:rPr>
        <w:t>25-40 selected work records with complete metadata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</w:rPr>
        <w:t>Complete series index with legacy URL map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</w:rPr>
        <w:t>Current exhibition pages for Venice and recent institutional projects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</w:rPr>
        <w:t>At least one archival essay and one recent interview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</w:rPr>
        <w:t>Press kit, rights procedure, contact, and image credits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</w:rPr>
        <w:t>Accessibility review: alt text, keyboard use, contrast, captions, reduced-motion option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</w:rPr>
        <w:t>Institutional collection claims confirmed in writing</w:t>
      </w:r>
    </w:p>
    <w:p>
      <w:pPr>
        <w:pStyle w:val="Heading1"/>
      </w:pPr>
      <w:r>
        <w:t>13. Research basis</w:t>
      </w:r>
    </w:p>
    <w:p>
      <w:pPr>
        <w:spacing w:after="40" w:line="245" w:lineRule="auto"/>
      </w:pPr>
      <w:r>
        <w:rPr>
          <w:rFonts w:ascii="Calibri" w:hAnsi="Calibri" w:eastAsia="Calibri"/>
          <w:b/>
          <w:color w:val="65401F"/>
          <w:sz w:val="15"/>
        </w:rPr>
        <w:t xml:space="preserve">FIRST PARTY  </w:t>
      </w:r>
      <w:hyperlink r:id="rId15">
        <w:r>
          <w:rPr>
            <w:color w:val="8B5A2B"/>
            <w:u w:val="single"/>
            <w:sz w:val="16"/>
            <w:szCs w:val="16"/>
          </w:rPr>
          <w:t>Zadik Zadikian - current website</w:t>
        </w:r>
      </w:hyperlink>
      <w:r>
        <w:rPr>
          <w:rFonts w:ascii="Calibri" w:hAnsi="Calibri" w:eastAsia="Calibri"/>
          <w:color w:val="716C65"/>
          <w:sz w:val="16"/>
        </w:rPr>
        <w:t xml:space="preserve"> - Existing navigation, collection titles, and project texts.</w:t>
      </w:r>
    </w:p>
    <w:p>
      <w:pPr>
        <w:spacing w:after="40" w:line="245" w:lineRule="auto"/>
      </w:pPr>
      <w:r>
        <w:rPr>
          <w:rFonts w:ascii="Calibri" w:hAnsi="Calibri" w:eastAsia="Calibri"/>
          <w:b/>
          <w:color w:val="65401F"/>
          <w:sz w:val="15"/>
        </w:rPr>
        <w:t xml:space="preserve">ARCHIVE  </w:t>
      </w:r>
      <w:hyperlink r:id="rId16">
        <w:r>
          <w:rPr>
            <w:color w:val="8B5A2B"/>
            <w:u w:val="single"/>
            <w:sz w:val="16"/>
            <w:szCs w:val="16"/>
          </w:rPr>
          <w:t>White Columns - 112 Greene Street</w:t>
        </w:r>
      </w:hyperlink>
      <w:r>
        <w:rPr>
          <w:rFonts w:ascii="Calibri" w:hAnsi="Calibri" w:eastAsia="Calibri"/>
          <w:color w:val="716C65"/>
          <w:sz w:val="16"/>
        </w:rPr>
        <w:t xml:space="preserve"> - Early total-space work.</w:t>
      </w:r>
    </w:p>
    <w:p>
      <w:pPr>
        <w:spacing w:after="40" w:line="245" w:lineRule="auto"/>
      </w:pPr>
      <w:r>
        <w:rPr>
          <w:rFonts w:ascii="Calibri" w:hAnsi="Calibri" w:eastAsia="Calibri"/>
          <w:b/>
          <w:color w:val="65401F"/>
          <w:sz w:val="15"/>
        </w:rPr>
        <w:t xml:space="preserve">INSTITUTION  </w:t>
      </w:r>
      <w:hyperlink r:id="rId17">
        <w:r>
          <w:rPr>
            <w:color w:val="8B5A2B"/>
            <w:u w:val="single"/>
            <w:sz w:val="16"/>
            <w:szCs w:val="16"/>
          </w:rPr>
          <w:t>MoMA - Zadik Zadikian</w:t>
        </w:r>
      </w:hyperlink>
      <w:r>
        <w:rPr>
          <w:rFonts w:ascii="Calibri" w:hAnsi="Calibri" w:eastAsia="Calibri"/>
          <w:color w:val="716C65"/>
          <w:sz w:val="16"/>
        </w:rPr>
        <w:t xml:space="preserve"> - MoMA PS1 exhibition record.</w:t>
      </w:r>
    </w:p>
    <w:p>
      <w:pPr>
        <w:spacing w:after="40" w:line="245" w:lineRule="auto"/>
      </w:pPr>
      <w:r>
        <w:rPr>
          <w:rFonts w:ascii="Calibri" w:hAnsi="Calibri" w:eastAsia="Calibri"/>
          <w:b/>
          <w:color w:val="65401F"/>
          <w:sz w:val="15"/>
        </w:rPr>
        <w:t xml:space="preserve">INTERVIEW  </w:t>
      </w:r>
      <w:hyperlink r:id="rId18">
        <w:r>
          <w:rPr>
            <w:color w:val="8B5A2B"/>
            <w:u w:val="single"/>
            <w:sz w:val="16"/>
            <w:szCs w:val="16"/>
          </w:rPr>
          <w:t>Richard Serra with Phong Bui</w:t>
        </w:r>
      </w:hyperlink>
      <w:r>
        <w:rPr>
          <w:rFonts w:ascii="Calibri" w:hAnsi="Calibri" w:eastAsia="Calibri"/>
          <w:color w:val="716C65"/>
          <w:sz w:val="16"/>
        </w:rPr>
        <w:t xml:space="preserve"> - Documented collaboration and technical experiment.</w:t>
      </w:r>
    </w:p>
    <w:p>
      <w:pPr>
        <w:spacing w:after="40" w:line="245" w:lineRule="auto"/>
      </w:pPr>
      <w:r>
        <w:rPr>
          <w:rFonts w:ascii="Calibri" w:hAnsi="Calibri" w:eastAsia="Calibri"/>
          <w:b/>
          <w:color w:val="65401F"/>
          <w:sz w:val="15"/>
        </w:rPr>
        <w:t xml:space="preserve">MUSEUM  </w:t>
      </w:r>
      <w:hyperlink r:id="rId19">
        <w:r>
          <w:rPr>
            <w:color w:val="8B5A2B"/>
            <w:u w:val="single"/>
            <w:sz w:val="16"/>
            <w:szCs w:val="16"/>
          </w:rPr>
          <w:t>Brooklyn Museum - Solid Gold</w:t>
        </w:r>
      </w:hyperlink>
      <w:r>
        <w:rPr>
          <w:rFonts w:ascii="Calibri" w:hAnsi="Calibri" w:eastAsia="Calibri"/>
          <w:color w:val="716C65"/>
          <w:sz w:val="16"/>
        </w:rPr>
        <w:t xml:space="preserve"> - Recent institutional context.</w:t>
      </w:r>
    </w:p>
    <w:p>
      <w:pPr>
        <w:spacing w:after="40" w:line="245" w:lineRule="auto"/>
      </w:pPr>
      <w:r>
        <w:rPr>
          <w:rFonts w:ascii="Calibri" w:hAnsi="Calibri" w:eastAsia="Calibri"/>
          <w:b/>
          <w:color w:val="65401F"/>
          <w:sz w:val="15"/>
        </w:rPr>
        <w:t xml:space="preserve">FAIR  </w:t>
      </w:r>
      <w:hyperlink r:id="rId20">
        <w:r>
          <w:rPr>
            <w:color w:val="8B5A2B"/>
            <w:u w:val="single"/>
            <w:sz w:val="16"/>
            <w:szCs w:val="16"/>
          </w:rPr>
          <w:t>Independent 20th Century - 2025</w:t>
        </w:r>
      </w:hyperlink>
      <w:r>
        <w:rPr>
          <w:rFonts w:ascii="Calibri" w:hAnsi="Calibri" w:eastAsia="Calibri"/>
          <w:color w:val="716C65"/>
          <w:sz w:val="16"/>
        </w:rPr>
        <w:t xml:space="preserve"> - Canon-reframing context and Made in USA.</w:t>
      </w:r>
    </w:p>
    <w:p>
      <w:pPr>
        <w:spacing w:after="40" w:line="245" w:lineRule="auto"/>
      </w:pPr>
      <w:r>
        <w:rPr>
          <w:rFonts w:ascii="Calibri" w:hAnsi="Calibri" w:eastAsia="Calibri"/>
          <w:b/>
          <w:color w:val="65401F"/>
          <w:sz w:val="15"/>
        </w:rPr>
        <w:t xml:space="preserve">INSTITUTION  </w:t>
      </w:r>
      <w:hyperlink r:id="rId21">
        <w:r>
          <w:rPr>
            <w:color w:val="8B5A2B"/>
            <w:u w:val="single"/>
            <w:sz w:val="16"/>
            <w:szCs w:val="16"/>
          </w:rPr>
          <w:t>Cafesjian Center - RETURN</w:t>
        </w:r>
      </w:hyperlink>
      <w:r>
        <w:rPr>
          <w:rFonts w:ascii="Calibri" w:hAnsi="Calibri" w:eastAsia="Calibri"/>
          <w:color w:val="716C65"/>
          <w:sz w:val="16"/>
        </w:rPr>
        <w:t xml:space="preserve"> - Official exhibition dates.</w:t>
      </w:r>
    </w:p>
    <w:p>
      <w:pPr>
        <w:spacing w:after="40" w:line="245" w:lineRule="auto"/>
      </w:pPr>
      <w:r>
        <w:rPr>
          <w:rFonts w:ascii="Calibri" w:hAnsi="Calibri" w:eastAsia="Calibri"/>
          <w:b/>
          <w:color w:val="65401F"/>
          <w:sz w:val="15"/>
        </w:rPr>
        <w:t xml:space="preserve">INSTITUTION  </w:t>
      </w:r>
      <w:hyperlink r:id="rId22">
        <w:r>
          <w:rPr>
            <w:color w:val="8B5A2B"/>
            <w:u w:val="single"/>
            <w:sz w:val="16"/>
            <w:szCs w:val="16"/>
          </w:rPr>
          <w:t>La Biennale di Venezia - Armenia</w:t>
        </w:r>
      </w:hyperlink>
      <w:r>
        <w:rPr>
          <w:rFonts w:ascii="Calibri" w:hAnsi="Calibri" w:eastAsia="Calibri"/>
          <w:color w:val="716C65"/>
          <w:sz w:val="16"/>
        </w:rPr>
        <w:t xml:space="preserve"> - Current color, process, and open-studio language.</w:t>
      </w:r>
    </w:p>
    <w:p>
      <w:pPr>
        <w:spacing w:after="40" w:line="245" w:lineRule="auto"/>
      </w:pPr>
      <w:r>
        <w:rPr>
          <w:rFonts w:ascii="Calibri" w:hAnsi="Calibri" w:eastAsia="Calibri"/>
          <w:b/>
          <w:color w:val="65401F"/>
          <w:sz w:val="15"/>
        </w:rPr>
        <w:t xml:space="preserve">INTERVIEW  </w:t>
      </w:r>
      <w:hyperlink r:id="rId23">
        <w:r>
          <w:rPr>
            <w:color w:val="8B5A2B"/>
            <w:u w:val="single"/>
            <w:sz w:val="16"/>
            <w:szCs w:val="16"/>
          </w:rPr>
          <w:t>Canvas - Zadik Zadikian</w:t>
        </w:r>
      </w:hyperlink>
      <w:r>
        <w:rPr>
          <w:rFonts w:ascii="Calibri" w:hAnsi="Calibri" w:eastAsia="Calibri"/>
          <w:color w:val="716C65"/>
          <w:sz w:val="16"/>
        </w:rPr>
        <w:t xml:space="preserve"> - First-person account central to the new narrative.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716C65"/>
        <w:sz w:val="17"/>
      </w:rPr>
      <w:t xml:space="preserve">Prepared 23 August 2026   •   </w:t>
    </w:r>
    <w:r>
      <w:rPr>
        <w:rFonts w:ascii="Calibri" w:hAnsi="Calibri" w:eastAsia="Calibri"/>
        <w:color w:val="716C6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716C65"/>
        <w:sz w:val="17"/>
      </w:rPr>
      <w:t xml:space="preserve">Prepared 23 August 2026   •   </w:t>
    </w:r>
    <w:r>
      <w:rPr>
        <w:rFonts w:ascii="Calibri" w:hAnsi="Calibri" w:eastAsia="Calibri"/>
        <w:color w:val="716C6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716C65"/>
        <w:sz w:val="17"/>
      </w:rPr>
      <w:t xml:space="preserve">Prepared 23 August 2026   •   </w:t>
    </w:r>
    <w:r>
      <w:rPr>
        <w:rFonts w:ascii="Calibri" w:hAnsi="Calibri" w:eastAsia="Calibri"/>
        <w:color w:val="716C6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/>
        <w:color w:val="716C65"/>
        <w:sz w:val="16"/>
      </w:rPr>
      <w:t>ZADIK ZADIKIAN   |   WEBSITE STRATEGY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/>
        <w:color w:val="716C65"/>
        <w:sz w:val="16"/>
      </w:rPr>
      <w:t>ZADIK ZADIKIAN   |   WEBSITE STRATEGY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/>
        <w:color w:val="716C65"/>
        <w:sz w:val="16"/>
      </w:rPr>
      <w:t>ZADIK ZADIKIAN   |   WEBSITE STRATEGY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Calibri" w:hAnsi="Calibri"/>
      <w:color w:val="2423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6540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8B5A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D3A3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4232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440"/>
    </w:pPr>
    <w:rPr>
      <w:rFonts w:asciiTheme="majorHAnsi" w:eastAsiaTheme="majorEastAsia" w:hAnsiTheme="majorHAnsi" w:cstheme="majorBidi" w:ascii="Calibri" w:hAnsi="Calibri"/>
      <w:b w:val="0"/>
      <w:i/>
      <w:iCs/>
      <w:color w:val="716C6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hyperlink" Target="https://www.zadikzadikian.com/" TargetMode="External"/><Relationship Id="rId16" Type="http://schemas.openxmlformats.org/officeDocument/2006/relationships/hyperlink" Target="https://whitecolumns.org/exhibitions/zadik-zadikian/" TargetMode="External"/><Relationship Id="rId17" Type="http://schemas.openxmlformats.org/officeDocument/2006/relationships/hyperlink" Target="https://www.moma.org/artists/73891" TargetMode="External"/><Relationship Id="rId18" Type="http://schemas.openxmlformats.org/officeDocument/2006/relationships/hyperlink" Target="https://brooklynrail.org/2011/07/art/richard-serra-with-phong-bui-july11/" TargetMode="External"/><Relationship Id="rId19" Type="http://schemas.openxmlformats.org/officeDocument/2006/relationships/hyperlink" Target="https://www.brooklynmuseum.org/exhibitions/solid-gold" TargetMode="External"/><Relationship Id="rId20" Type="http://schemas.openxmlformats.org/officeDocument/2006/relationships/hyperlink" Target="https://www.independenthq.com/features/announcing-details-of-the-fourth-edition-of-independent-20th-century" TargetMode="External"/><Relationship Id="rId21" Type="http://schemas.openxmlformats.org/officeDocument/2006/relationships/hyperlink" Target="https://www.cmf.am/en/exhibitions/past" TargetMode="External"/><Relationship Id="rId22" Type="http://schemas.openxmlformats.org/officeDocument/2006/relationships/hyperlink" Target="https://www.labiennale.org/en/art/2026/armenia-republic" TargetMode="External"/><Relationship Id="rId23" Type="http://schemas.openxmlformats.org/officeDocument/2006/relationships/hyperlink" Target="https://canvasonline.com/zadik-zadiki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Zadik Zadikian - Website Strategy</dc:title>
  <dc:subject>Sitemap, editorial architecture, and design-team guidance</dc:subject>
  <dc:creator>AZ Studios</dc:creator>
  <cp:keywords>Zadik Zadikian; artist website; retrospective; Minimalism; post-Minimalism; sculpture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