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180"/>
        <w:jc w:val="center"/>
      </w:pPr>
      <w:r>
        <w:rPr>
          <w:rFonts w:ascii="Calibri" w:hAnsi="Calibri" w:eastAsia="Calibri"/>
          <w:b/>
          <w:color w:val="8B5A2B"/>
          <w:sz w:val="18"/>
        </w:rPr>
        <w:t>RESEARCH AND NARRATIVE FRAMEWORK</w:t>
      </w:r>
    </w:p>
    <w:p>
      <w:pPr>
        <w:pStyle w:val="Title"/>
        <w:jc w:val="center"/>
      </w:pPr>
      <w:r>
        <w:t>Matter in Formation</w:t>
      </w:r>
    </w:p>
    <w:p>
      <w:pPr>
        <w:pStyle w:val="Subtitle"/>
        <w:jc w:val="center"/>
      </w:pPr>
      <w:r>
        <w:rPr>
          <w:rFonts w:ascii="Calibri" w:hAnsi="Calibri" w:eastAsia="Calibri"/>
          <w:i/>
        </w:rPr>
        <w:t>A retrospective reading of Zadik Zadikian across seven decades</w:t>
      </w:r>
    </w:p>
    <w:p>
      <w:pPr>
        <w:spacing w:after="440"/>
        <w:jc w:val="center"/>
      </w:pPr>
      <w:r>
        <w:rPr>
          <w:rFonts w:ascii="Calibri" w:hAnsi="Calibri" w:eastAsia="Calibri"/>
          <w:color w:val="716C65"/>
          <w:sz w:val="19"/>
        </w:rPr>
        <w:t>For curatorial, studio, editorial, and design-team use</w:t>
      </w:r>
    </w:p>
    <w:p>
      <w:pPr>
        <w:spacing w:after="320"/>
        <w:pBdr>
          <w:bottom w:val="single" w:sz="10" w:space="4" w:color="8B5A2B"/>
        </w:pBdr>
      </w:pPr>
    </w:p>
    <w:p>
      <w:pPr>
        <w:spacing w:before="1600"/>
        <w:jc w:val="center"/>
      </w:pPr>
      <w:r>
        <w:rPr>
          <w:rFonts w:ascii="Calibri" w:hAnsi="Calibri" w:eastAsia="Calibri"/>
          <w:i/>
          <w:color w:val="716C65"/>
          <w:sz w:val="19"/>
        </w:rPr>
        <w:t>Editorial working master for studio and design-team review</w:t>
      </w:r>
    </w:p>
    <w:p>
      <w:r>
        <w:br w:type="page"/>
      </w:r>
    </w:p>
    <w:p>
      <w:pPr>
        <w:pStyle w:val="Heading1"/>
      </w:pPr>
      <w:r>
        <w:t>1. Executive argument</w:t>
      </w:r>
    </w:p>
    <w:p>
      <w:pPr>
        <w:spacing w:before="120" w:after="200" w:line="288" w:lineRule="auto"/>
        <w:ind w:left="230" w:right="230"/>
        <w:shd w:fill="F4EFE7"/>
        <w:pBdr>
          <w:left w:val="single" w:sz="20" w:space="5" w:color="8B5A2B"/>
        </w:pBdr>
      </w:pPr>
      <w:r>
        <w:rPr>
          <w:rFonts w:ascii="Calibri" w:hAnsi="Calibri" w:eastAsia="Calibri"/>
          <w:b/>
          <w:color w:val="65401F"/>
          <w:sz w:val="18"/>
        </w:rPr>
        <w:t xml:space="preserve">RETROSPECTIVE THESIS  </w:t>
      </w:r>
      <w:r>
        <w:rPr>
          <w:rFonts w:ascii="Calibri" w:hAnsi="Calibri" w:eastAsia="Calibri"/>
          <w:sz w:val="21"/>
        </w:rPr>
        <w:t>The breadth of Zadikian's work becomes coherent when read as an oscillation between figure and field. His recurring operations - building, covering, repeating, casting, throwing, balancing, and rearranging - test how form can share a structure without surrendering difference.</w:t>
      </w:r>
    </w:p>
    <w:p>
      <w:pPr>
        <w:keepLines w:val="0"/>
      </w:pPr>
      <w:r>
        <w:rPr>
          <w:rFonts w:ascii="Calibri" w:hAnsi="Calibri" w:eastAsia="Calibri"/>
          <w:i w:val="0"/>
        </w:rPr>
        <w:t>The strongest retrospective account does not divide the career into an early figurative artist and a later abstract artist. Nor should it reduce the work to gold. Zadikian repeatedly changes the scale and condition of the same problem. A recognizable body becomes a fragment; a fragment becomes a repeatable unit; a unit becomes a wall or room; the field then returns to the face, touch, and participation. This recurrence gives the career its depth.</w:t>
      </w:r>
    </w:p>
    <w:p>
      <w:pPr>
        <w:keepLines w:val="0"/>
      </w:pPr>
      <w:r>
        <w:rPr>
          <w:rFonts w:ascii="Calibri" w:hAnsi="Calibri" w:eastAsia="Calibri"/>
          <w:i w:val="0"/>
        </w:rPr>
        <w:t>The escape from Soviet Armenia is essential context, but it must be handled as a structural condition rather than a marketing hook. The work does not illustrate a border crossing. Instead, it develops a vocabulary of forms that can be detached, carried, rebuilt, and opened to other configurations. The corollary is strongest when it remains formal: fixed state versus open structure; prescribed image versus emergent form; containment versus freedom; singular identity versus shared order.</w:t>
      </w:r>
    </w:p>
    <w:p>
      <w:pPr>
        <w:pStyle w:val="Heading1"/>
      </w:pPr>
      <w:r>
        <w:t>2. The character arc</w:t>
      </w:r>
    </w:p>
    <w:tbl>
      <w:tblPr>
        <w:tblW w:type="dxa" w:w="9360"/>
        <w:jc w:val="left"/>
        <w:tblLayout w:type="fixed"/>
        <w:tblLook w:firstColumn="1" w:firstRow="1" w:lastColumn="0" w:lastRow="0" w:noHBand="0" w:noVBand="1" w:val="04A0"/>
        <w:tblInd w:type="dxa" w:w="120"/>
      </w:tblPr>
      <w:tblGrid>
        <w:gridCol w:w="2200"/>
        <w:gridCol w:w="2400"/>
        <w:gridCol w:w="4760"/>
      </w:tblGrid>
      <w:tr>
        <w:trPr>
          <w:tblHeader w:val="true"/>
        </w:trPr>
        <w:tc>
          <w:tcPr>
            <w:tcW w:type="dxa" w:w="22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Phase</w:t>
            </w:r>
          </w:p>
        </w:tc>
        <w:tc>
          <w:tcPr>
            <w:tcW w:type="dxa" w:w="24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Historical emphasis</w:t>
            </w:r>
          </w:p>
        </w:tc>
        <w:tc>
          <w:tcPr>
            <w:tcW w:type="dxa" w:w="476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What changes</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I. Ground - figure and construction</w:t>
            </w:r>
          </w:p>
        </w:tc>
        <w:tc>
          <w:tcPr>
            <w:tcW w:type="dxa" w:w="24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Childhood and academy training</w:t>
            </w:r>
          </w:p>
        </w:tc>
        <w:tc>
          <w:tcPr>
            <w:tcW w:type="dxa" w:w="47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The body, classical sculpture, drawing, modeling, and the builder's intelligence of support, mold, and structure.</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II. Field - the room becomes sculpture</w:t>
            </w:r>
          </w:p>
        </w:tc>
        <w:tc>
          <w:tcPr>
            <w:tcW w:type="dxa" w:w="24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Early 1970s New York</w:t>
            </w:r>
          </w:p>
        </w:tc>
        <w:tc>
          <w:tcPr>
            <w:tcW w:type="dxa" w:w="47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Whole-room transformation, architectural color, surface as atmosphere, and sculpture understood as a condition of space.</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III. Unit - brick, gold, and serial order</w:t>
            </w:r>
          </w:p>
        </w:tc>
        <w:tc>
          <w:tcPr>
            <w:tcW w:type="dxa" w:w="24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Mid-1970s onward</w:t>
            </w:r>
          </w:p>
        </w:tc>
        <w:tc>
          <w:tcPr>
            <w:tcW w:type="dxa" w:w="47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The building block becomes portable sculpture; gilding creates a common optical field; repetition builds without fixing a final architecture.</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IV. Body - figuration under pressure</w:t>
            </w:r>
          </w:p>
        </w:tc>
        <w:tc>
          <w:tcPr>
            <w:tcW w:type="dxa" w:w="24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1980s onward</w:t>
            </w:r>
          </w:p>
        </w:tc>
        <w:tc>
          <w:tcPr>
            <w:tcW w:type="dxa" w:w="47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Portraits, figures, fragments, erotic studies, and casts return recognizability without abandoning process, contingency, or serial logic.</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V. Open structure - gold, color, and participation</w:t>
            </w:r>
          </w:p>
        </w:tc>
        <w:tc>
          <w:tcPr>
            <w:tcW w:type="dxa" w:w="24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2024 onward</w:t>
            </w:r>
          </w:p>
        </w:tc>
        <w:tc>
          <w:tcPr>
            <w:tcW w:type="dxa" w:w="47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Monumental stacks reactivate the historical unit; pigment, touch, movement, and public assembly turn the studio into an evolving work.</w:t>
            </w:r>
          </w:p>
        </w:tc>
      </w:tr>
    </w:tbl>
    <w:p>
      <w:pPr>
        <w:spacing w:after="0"/>
      </w:pPr>
    </w:p>
    <w:p>
      <w:pPr>
        <w:pStyle w:val="Heading1"/>
      </w:pPr>
      <w:r>
        <w:t>3. Phase analysis</w:t>
      </w:r>
    </w:p>
    <w:p>
      <w:pPr>
        <w:pStyle w:val="Heading2"/>
      </w:pPr>
      <w:r>
        <w:t>I. Ground: figure and construction</w:t>
      </w:r>
    </w:p>
    <w:p>
      <w:pPr>
        <w:keepLines w:val="0"/>
      </w:pPr>
      <w:r>
        <w:rPr>
          <w:rFonts w:ascii="Calibri" w:hAnsi="Calibri" w:eastAsia="Calibri"/>
          <w:i w:val="0"/>
        </w:rPr>
        <w:t>Zadikian's first language was figurative. The current site and resume describe intensive childhood study, academy training in Yerevan, and early exhibitions, while a recent interview recalls copying Greek sculpture and learning construction alongside his father. These facts matter because the later work never treats material as neutral. Clay, plaster, support, mold, and scale are understood through bodily making and structural knowledge.</w:t>
      </w:r>
    </w:p>
    <w:p>
      <w:pPr>
        <w:keepLines w:val="0"/>
      </w:pPr>
      <w:r>
        <w:rPr>
          <w:rFonts w:ascii="Calibri" w:hAnsi="Calibri" w:eastAsia="Calibri"/>
          <w:i w:val="0"/>
        </w:rPr>
        <w:t>The early figure should therefore open the retrospective, but not as a conservative prehistory to be overcome. It establishes the practice's enduring measure: the human body. Even the most serial stacks remain calibrated to bodily movement, reach, labor, and architectural passage.</w:t>
      </w:r>
    </w:p>
    <w:p>
      <w:pPr>
        <w:pStyle w:val="Heading2"/>
      </w:pPr>
      <w:r>
        <w:t>II. Field: the room becomes sculpture</w:t>
      </w:r>
    </w:p>
    <w:p>
      <w:pPr>
        <w:keepLines w:val="0"/>
      </w:pPr>
      <w:r>
        <w:rPr>
          <w:rFonts w:ascii="Calibri" w:hAnsi="Calibri" w:eastAsia="Calibri"/>
          <w:i w:val="0"/>
        </w:rPr>
        <w:t>White Columns documents Zadikian's 1973 transformation of a room and its fixtures at 112 Greene Street. Pale yellow unified the site while open doors and windows allowed air to enter the work. The project belongs to the period's redefinition of sculpture as a situation rather than a freestanding object. It also precedes the mature gold environments and shows that total-space transformation was already a core method.</w:t>
      </w:r>
    </w:p>
    <w:p>
      <w:pPr>
        <w:keepLines w:val="0"/>
      </w:pPr>
      <w:r>
        <w:rPr>
          <w:rFonts w:ascii="Calibri" w:hAnsi="Calibri" w:eastAsia="Calibri"/>
          <w:i w:val="0"/>
        </w:rPr>
        <w:t>This phase places Zadikian inside, not adjacent to, the experimental New York field. MoMA PS1's 1974 Billboard Painting and the documented Serra collaboration make the historical case. The site should let archival facts do the work: dates, venues, installation images, and precise language are more persuasive than declarations of greatness.</w:t>
      </w:r>
    </w:p>
    <w:p>
      <w:pPr>
        <w:pStyle w:val="Heading2"/>
      </w:pPr>
      <w:r>
        <w:t>III. Unit: brick, gold, and serial order</w:t>
      </w:r>
    </w:p>
    <w:p>
      <w:pPr>
        <w:keepLines w:val="0"/>
      </w:pPr>
      <w:r>
        <w:rPr>
          <w:rFonts w:ascii="Calibri" w:hAnsi="Calibri" w:eastAsia="Calibri"/>
          <w:i w:val="0"/>
        </w:rPr>
        <w:t>Gold changes the status of covering. It is neither camouflage nor a decorative finish. Across architecture and objects, it becomes a continuous reflective skin that draws disparate surfaces into one field while revealing dents, seams, edges, and shifts of light. Its paradox is useful: gold can signal wealth, ritual, permanence, and spectacle, yet the leaf is thin, vulnerable, labor-intensive, and responsive to touch and air.</w:t>
      </w:r>
    </w:p>
    <w:p>
      <w:pPr>
        <w:keepLines w:val="0"/>
      </w:pPr>
      <w:r>
        <w:rPr>
          <w:rFonts w:ascii="Calibri" w:hAnsi="Calibri" w:eastAsia="Calibri"/>
          <w:i w:val="0"/>
        </w:rPr>
        <w:t>The brick gives this field a unit. It carries construction history, manual labor, mass production, and architectural potential. Zadikian's stacks do not simply repeat Minimalist modules. They remain materially imperfect and optically unstable; gaps allow light, air, and bodies to pass. Repetition becomes a way to stage nonidentity inside order.</w:t>
      </w:r>
    </w:p>
    <w:p>
      <w:pPr>
        <w:keepLines w:val="0"/>
      </w:pPr>
      <w:r>
        <w:rPr>
          <w:rFonts w:ascii="Calibri" w:hAnsi="Calibri" w:eastAsia="Calibri"/>
          <w:i w:val="0"/>
        </w:rPr>
        <w:t>The 1978 Tehran project is a hinge. The original gilded bricks were reportedly lost during the Iranian Revolution. Later stacks, Path to Nine, and Made in USA revisit the unit without merely reconstructing the lost work. The recurrence makes loss productive: the same form returns under different scales, materials, and historical conditions.</w:t>
      </w:r>
    </w:p>
    <w:p>
      <w:pPr>
        <w:pStyle w:val="Heading2"/>
      </w:pPr>
      <w:r>
        <w:t>IV. Body: figuration under pressure</w:t>
      </w:r>
    </w:p>
    <w:p>
      <w:pPr>
        <w:keepLines w:val="0"/>
      </w:pPr>
      <w:r>
        <w:rPr>
          <w:rFonts w:ascii="Calibri" w:hAnsi="Calibri" w:eastAsia="Calibri"/>
          <w:i w:val="0"/>
        </w:rPr>
        <w:t>The 1984 exhibition The New Portrait places Zadikian within a multi-generational return to representation in New York. His later figures, portraits, La Brea works, studies, casts, and Foreigners should not be segregated from the serial installations. They test the same relation between singular form and shared system.</w:t>
      </w:r>
    </w:p>
    <w:p>
      <w:pPr>
        <w:keepLines w:val="0"/>
      </w:pPr>
      <w:r>
        <w:rPr>
          <w:rFonts w:ascii="Calibri" w:hAnsi="Calibri" w:eastAsia="Calibri"/>
          <w:i w:val="0"/>
        </w:rPr>
        <w:t>Foreigners is especially important. By throwing wet clay and allowing impact and gravity to form facial elements, Zadikian interrupts the sculptor's trained tendency toward an ideal face. The process gives each form specificity without using likeness. This is action sculpture and gravity sculpture at the edge of representation: the face is recognizable, but its identity arises from an event in matter.</w:t>
      </w:r>
    </w:p>
    <w:p>
      <w:pPr>
        <w:pStyle w:val="Heading2"/>
      </w:pPr>
      <w:r>
        <w:t>V. Open structure: gold, color, and participation</w:t>
      </w:r>
    </w:p>
    <w:p>
      <w:pPr>
        <w:keepLines w:val="0"/>
      </w:pPr>
      <w:r>
        <w:rPr>
          <w:rFonts w:ascii="Calibri" w:hAnsi="Calibri" w:eastAsia="Calibri"/>
          <w:i w:val="0"/>
        </w:rPr>
        <w:t>Path to Nine reassembled the stack as a large reflective field at the Brooklyn Museum, and Made in USA condensed the history into a nine-foot column at Independent 20th Century. The 2026 Armenian Pavilion then displaced gold with pigment-infused, movable blocks produced and rearranged in public. The shift is not from one signature material to another. It is from a common surface to a common procedure.</w:t>
      </w:r>
    </w:p>
    <w:p>
      <w:pPr>
        <w:keepLines w:val="0"/>
      </w:pPr>
      <w:r>
        <w:rPr>
          <w:rFonts w:ascii="Calibri" w:hAnsi="Calibri" w:eastAsia="Calibri"/>
          <w:i w:val="0"/>
        </w:rPr>
        <w:t>The Studio makes production visible and allows the configuration to change. It turns the block into an instrument of collective making while preserving the artist's long investment in casting, labor, touch, and serial form. The return to Armenia gains force here precisely because it is not illustrated. A body of work formed through displacement returns as a structure that can be assembled, altered, and shared.</w:t>
      </w:r>
    </w:p>
    <w:p>
      <w:pPr>
        <w:pStyle w:val="Heading1"/>
      </w:pPr>
      <w:r>
        <w:t>4. Current website collection audit</w:t>
      </w:r>
    </w:p>
    <w:p>
      <w:pPr>
        <w:keepLines w:val="0"/>
      </w:pPr>
      <w:r>
        <w:rPr>
          <w:rFonts w:ascii="Calibri" w:hAnsi="Calibri" w:eastAsia="Calibri"/>
          <w:i w:val="0"/>
        </w:rPr>
        <w:t>The present Work index contains seventeen named collections. Only four carry substantial project text; several others are image-only and omit dates, media, dimensions, captions, and sequence. The new site should preserve access to the full breadth while reorganizing it into a retrospective argument.</w:t>
      </w:r>
    </w:p>
    <w:tbl>
      <w:tblPr>
        <w:tblW w:type="dxa" w:w="9360"/>
        <w:jc w:val="left"/>
        <w:tblLayout w:type="fixed"/>
        <w:tblLook w:firstColumn="1" w:firstRow="1" w:lastColumn="0" w:lastRow="0" w:noHBand="0" w:noVBand="1" w:val="04A0"/>
        <w:tblInd w:type="dxa" w:w="120"/>
      </w:tblPr>
      <w:tblGrid>
        <w:gridCol w:w="1700"/>
        <w:gridCol w:w="1800"/>
        <w:gridCol w:w="2300"/>
        <w:gridCol w:w="3560"/>
      </w:tblGrid>
      <w:tr>
        <w:trPr>
          <w:tblHeader w:val="true"/>
        </w:trPr>
        <w:tc>
          <w:tcPr>
            <w:tcW w:type="dxa" w:w="17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Current collection</w:t>
            </w:r>
          </w:p>
        </w:tc>
        <w:tc>
          <w:tcPr>
            <w:tcW w:type="dxa" w:w="18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Current evidence</w:t>
            </w:r>
          </w:p>
        </w:tc>
        <w:tc>
          <w:tcPr>
            <w:tcW w:type="dxa" w:w="23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Provisional thread</w:t>
            </w:r>
          </w:p>
        </w:tc>
        <w:tc>
          <w:tcPr>
            <w:tcW w:type="dxa" w:w="356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New-site action</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Path to Nine</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Substantial text; c.10 images</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Serial structure, number, gold, return</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Lead work in Unit / Open Structure. Confirm component count: public sources conflict.</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stacks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Substantial text; c.22 images</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Building, incompletion, serial order, gold</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Make the longitudinal backbone; date and caption every iteration.</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foreigners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Substantial text; 4 images</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Gravity-formed faces; singular/collective</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Lead Body chapter and process film opportunity.</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Solis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Short text; 4 images</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Sun, light, persistence</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Use as a focused work page, not a universal slogan.</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la brea series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 7 images</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Portrait/figure field; named heads</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Place in Body; confirm dates, media, titles, and relation to Portraits.</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spaces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Room-scale transformation</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Place in Field; recover 1973-78 chronology and installation documentation.</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portraits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Recognizable face and identity</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Place in Body; curate tightly and distinguish portraits from studies.</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waves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 c.16 images</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Chromatic stacks, shadow, permeability</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Bridge Unit to Open Structure; confirm title, date range, and media.</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aluminum stacks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Serial form in non-gold metal</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Use to prevent the stack language from reading as dependent on gold.</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functional</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Utility, design, sculpture</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Place in Objects / Use; identify furniture and edition information.</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figures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Full body and modeled presence</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Anchor the long figurative line; prioritize dated, major works.</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love on the beat</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Interpretation not documented</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Do not invent a reading; obtain artist text and complete metadata.</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shell cast</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Casting / negative-positive suggested by title</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Verify process before using the series as evidence.</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studies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 c.88 images</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Bodies, faces, erotic and grotesque studies</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Do not publish as an undifferentiated dump; curate sequences and add content advisory where needed.</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plateau series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Interpretation not documented</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Obtain studio inventory, dates, media, and series logic.</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palm</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Interpretation not documented</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Obtain artist text and identify whether work, project, or site.</w:t>
            </w:r>
          </w:p>
        </w:tc>
      </w:tr>
      <w:tr>
        <w:trPr>
          <w:cantSplit/>
        </w:trPr>
        <w:tc>
          <w:tcPr>
            <w:tcW w:type="dxa" w:w="1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objects</w:t>
            </w:r>
          </w:p>
        </w:tc>
        <w:tc>
          <w:tcPr>
            <w:tcW w:type="dxa" w:w="18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Image-only; 5 images</w:t>
            </w:r>
          </w:p>
        </w:tc>
        <w:tc>
          <w:tcPr>
            <w:tcW w:type="dxa" w:w="23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Shovels, floor, factory, found/work objects</w:t>
            </w:r>
          </w:p>
        </w:tc>
        <w:tc>
          <w:tcPr>
            <w:tcW w:type="dxa" w:w="35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5"/>
              </w:rPr>
              <w:t>Place in Objects / Labor; distinguish artworks from documentation.</w:t>
            </w:r>
          </w:p>
        </w:tc>
      </w:tr>
    </w:tbl>
    <w:p>
      <w:pPr>
        <w:spacing w:after="0"/>
      </w:pPr>
    </w:p>
    <w:p>
      <w:pPr>
        <w:pStyle w:val="Heading1"/>
      </w:pPr>
      <w:r>
        <w:t>5. Proposed retrospective work architecture</w:t>
      </w:r>
    </w:p>
    <w:tbl>
      <w:tblPr>
        <w:tblW w:type="dxa" w:w="9360"/>
        <w:jc w:val="left"/>
        <w:tblLayout w:type="fixed"/>
        <w:tblLook w:firstColumn="1" w:firstRow="1" w:lastColumn="0" w:lastRow="0" w:noHBand="0" w:noVBand="1" w:val="04A0"/>
        <w:tblInd w:type="dxa" w:w="120"/>
      </w:tblPr>
      <w:tblGrid>
        <w:gridCol w:w="1900"/>
        <w:gridCol w:w="3200"/>
        <w:gridCol w:w="4260"/>
      </w:tblGrid>
      <w:tr>
        <w:trPr>
          <w:tblHeader w:val="true"/>
        </w:trPr>
        <w:tc>
          <w:tcPr>
            <w:tcW w:type="dxa" w:w="19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Chapter</w:t>
            </w:r>
          </w:p>
        </w:tc>
        <w:tc>
          <w:tcPr>
            <w:tcW w:type="dxa" w:w="32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Collections / works</w:t>
            </w:r>
          </w:p>
        </w:tc>
        <w:tc>
          <w:tcPr>
            <w:tcW w:type="dxa" w:w="426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Narrative job</w:t>
            </w:r>
          </w:p>
        </w:tc>
      </w:tr>
      <w:tr>
        <w:trPr>
          <w:cantSplit/>
        </w:trPr>
        <w:tc>
          <w:tcPr>
            <w:tcW w:type="dxa" w:w="19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GROUND / FIGURE</w:t>
            </w:r>
          </w:p>
        </w:tc>
        <w:tc>
          <w:tcPr>
            <w:tcW w:type="dxa" w:w="3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figures; portraits; studies; La Brea</w:t>
            </w:r>
          </w:p>
        </w:tc>
        <w:tc>
          <w:tcPr>
            <w:tcW w:type="dxa" w:w="42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The body as first measure; academic skill; archetype, fragment, and erotic form.</w:t>
            </w:r>
          </w:p>
        </w:tc>
      </w:tr>
      <w:tr>
        <w:trPr>
          <w:cantSplit/>
        </w:trPr>
        <w:tc>
          <w:tcPr>
            <w:tcW w:type="dxa" w:w="19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FIELD / SPACE</w:t>
            </w:r>
          </w:p>
        </w:tc>
        <w:tc>
          <w:tcPr>
            <w:tcW w:type="dxa" w:w="3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spaces; early total-room works; Solis</w:t>
            </w:r>
          </w:p>
        </w:tc>
        <w:tc>
          <w:tcPr>
            <w:tcW w:type="dxa" w:w="42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Architecture as medium; color and gold as environmental conditions.</w:t>
            </w:r>
          </w:p>
        </w:tc>
      </w:tr>
      <w:tr>
        <w:trPr>
          <w:cantSplit/>
        </w:trPr>
        <w:tc>
          <w:tcPr>
            <w:tcW w:type="dxa" w:w="19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UNIT / STRUCTURE</w:t>
            </w:r>
          </w:p>
        </w:tc>
        <w:tc>
          <w:tcPr>
            <w:tcW w:type="dxa" w:w="3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stacks; aluminum stacks; Path to Nine; Made in USA</w:t>
            </w:r>
          </w:p>
        </w:tc>
        <w:tc>
          <w:tcPr>
            <w:tcW w:type="dxa" w:w="42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Brick, ingot, serial order, air, interval, and portable construction.</w:t>
            </w:r>
          </w:p>
        </w:tc>
      </w:tr>
      <w:tr>
        <w:trPr>
          <w:cantSplit/>
        </w:trPr>
        <w:tc>
          <w:tcPr>
            <w:tcW w:type="dxa" w:w="19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BODY / EMERGENCE</w:t>
            </w:r>
          </w:p>
        </w:tc>
        <w:tc>
          <w:tcPr>
            <w:tcW w:type="dxa" w:w="3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Foreigners; shell cast; selected figures</w:t>
            </w:r>
          </w:p>
        </w:tc>
        <w:tc>
          <w:tcPr>
            <w:tcW w:type="dxa" w:w="42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Gravity, action, casting, contingency, and recognizable form at the edge of abstraction.</w:t>
            </w:r>
          </w:p>
        </w:tc>
      </w:tr>
      <w:tr>
        <w:trPr>
          <w:cantSplit/>
        </w:trPr>
        <w:tc>
          <w:tcPr>
            <w:tcW w:type="dxa" w:w="19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OPEN STRUCTURE</w:t>
            </w:r>
          </w:p>
        </w:tc>
        <w:tc>
          <w:tcPr>
            <w:tcW w:type="dxa" w:w="3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waves; pigment blocks; The Studio</w:t>
            </w:r>
          </w:p>
        </w:tc>
        <w:tc>
          <w:tcPr>
            <w:tcW w:type="dxa" w:w="42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Color, touch, movement, participation, and work that remains in formation.</w:t>
            </w:r>
          </w:p>
        </w:tc>
      </w:tr>
      <w:tr>
        <w:trPr>
          <w:cantSplit/>
        </w:trPr>
        <w:tc>
          <w:tcPr>
            <w:tcW w:type="dxa" w:w="19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OBJECT / USE</w:t>
            </w:r>
          </w:p>
        </w:tc>
        <w:tc>
          <w:tcPr>
            <w:tcW w:type="dxa" w:w="3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functional; objects; palm; plateau; Love on the Beat</w:t>
            </w:r>
          </w:p>
        </w:tc>
        <w:tc>
          <w:tcPr>
            <w:tcW w:type="dxa" w:w="42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A research lane pending inventory; utility, labor, found form, and studio experimentation.</w:t>
            </w:r>
          </w:p>
        </w:tc>
      </w:tr>
    </w:tbl>
    <w:p>
      <w:pPr>
        <w:spacing w:after="0"/>
      </w:pPr>
    </w:p>
    <w:p>
      <w:pPr>
        <w:pStyle w:val="Heading1"/>
      </w:pPr>
      <w:r>
        <w:t>6. The vocabulary</w:t>
      </w:r>
    </w:p>
    <w:tbl>
      <w:tblPr>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Preferred term</w:t>
            </w:r>
          </w:p>
        </w:tc>
        <w:tc>
          <w:tcPr>
            <w:tcW w:type="dxa" w:w="716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Working definition</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open structure</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A form coherent enough to hold together and provisional enough to be changed.</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nonidentical repetition</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Serial form used to reveal variation rather than enforce sameness.</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common field</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A shared surface or spatial condition that joins unlike elements without erasing them.</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portable unit</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The brick or block as a fragment that carries architectural possibility across sites.</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material witness</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Matter understood as carrying process, impact, touch, and time; use sparingly.</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gravity-formed</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A precise description of forms produced through throwing, impact, water, earth, and weight.</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haptic intelligence</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Knowledge produced through touch, handling, casting, and assembly.</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field and figure</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The central oscillation between environmental abstraction and recognizable body.</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work in formation</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A sculpture whose making, assembly, or configuration remains visible and active.</w:t>
            </w:r>
          </w:p>
        </w:tc>
      </w:tr>
      <w:tr>
        <w:trPr>
          <w:cantSplit/>
        </w:trPr>
        <w:tc>
          <w:tcPr>
            <w:tcW w:type="dxa" w:w="22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constructive freedom</w:t>
            </w:r>
          </w:p>
        </w:tc>
        <w:tc>
          <w:tcPr>
            <w:tcW w:type="dxa" w:w="7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7"/>
              </w:rPr>
              <w:t>Freedom expressed through the capacity to build and rebuild, not through shapelessness.</w:t>
            </w:r>
          </w:p>
        </w:tc>
      </w:tr>
    </w:tbl>
    <w:p>
      <w:pPr>
        <w:spacing w:after="0"/>
      </w:pPr>
    </w:p>
    <w:p>
      <w:pPr>
        <w:pStyle w:val="Heading1"/>
      </w:pPr>
      <w:r>
        <w:t>7. Language controls</w:t>
      </w:r>
    </w:p>
    <w:tbl>
      <w:tblPr>
        <w:tblW w:type="dxa" w:w="9360"/>
        <w:jc w:val="left"/>
        <w:tblLayout w:type="fixed"/>
        <w:tblLook w:firstColumn="1" w:firstRow="1" w:lastColumn="0" w:lastRow="0" w:noHBand="0" w:noVBand="1" w:val="04A0"/>
        <w:tblInd w:type="dxa" w:w="120"/>
      </w:tblPr>
      <w:tblGrid>
        <w:gridCol w:w="3000"/>
        <w:gridCol w:w="2700"/>
        <w:gridCol w:w="3660"/>
      </w:tblGrid>
      <w:tr>
        <w:trPr>
          <w:tblHeader w:val="true"/>
        </w:trPr>
        <w:tc>
          <w:tcPr>
            <w:tcW w:type="dxa" w:w="30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Use</w:t>
            </w:r>
          </w:p>
        </w:tc>
        <w:tc>
          <w:tcPr>
            <w:tcW w:type="dxa" w:w="270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Avoid</w:t>
            </w:r>
          </w:p>
        </w:tc>
        <w:tc>
          <w:tcPr>
            <w:tcW w:type="dxa" w:w="366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Reason</w:t>
            </w:r>
          </w:p>
        </w:tc>
      </w:tr>
      <w:tr>
        <w:trPr>
          <w:cantSplit/>
        </w:trPr>
        <w:tc>
          <w:tcPr>
            <w:tcW w:type="dxa" w:w="30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Historically consequential, under-examined participant</w:t>
            </w:r>
          </w:p>
        </w:tc>
        <w:tc>
          <w:tcPr>
            <w:tcW w:type="dxa" w:w="2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Forgotten master; lost genius; rediscovered legend</w:t>
            </w:r>
          </w:p>
        </w:tc>
        <w:tc>
          <w:tcPr>
            <w:tcW w:type="dxa" w:w="36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Lets evidence establish stature without marketing rhetoric.</w:t>
            </w:r>
          </w:p>
        </w:tc>
      </w:tr>
      <w:tr>
        <w:trPr>
          <w:cantSplit/>
        </w:trPr>
        <w:tc>
          <w:tcPr>
            <w:tcW w:type="dxa" w:w="30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Worked inside the experimental field of Minimalism and post-Minimalism</w:t>
            </w:r>
          </w:p>
        </w:tc>
        <w:tc>
          <w:tcPr>
            <w:tcW w:type="dxa" w:w="2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Father of Minimalism; universally recognized pillar</w:t>
            </w:r>
          </w:p>
        </w:tc>
        <w:tc>
          <w:tcPr>
            <w:tcW w:type="dxa" w:w="36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Strong, accurate, and expandable as scholarship develops.</w:t>
            </w:r>
          </w:p>
        </w:tc>
      </w:tr>
      <w:tr>
        <w:trPr>
          <w:cantSplit/>
        </w:trPr>
        <w:tc>
          <w:tcPr>
            <w:tcW w:type="dxa" w:w="30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Documented collaborator in a formative Serra experiment</w:t>
            </w:r>
          </w:p>
        </w:tc>
        <w:tc>
          <w:tcPr>
            <w:tcW w:type="dxa" w:w="2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The man behind Serra's mature work</w:t>
            </w:r>
          </w:p>
        </w:tc>
        <w:tc>
          <w:tcPr>
            <w:tcW w:type="dxa" w:w="36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Protects the real importance of the evidence.</w:t>
            </w:r>
          </w:p>
        </w:tc>
      </w:tr>
      <w:tr>
        <w:trPr>
          <w:cantSplit/>
        </w:trPr>
        <w:tc>
          <w:tcPr>
            <w:tcW w:type="dxa" w:w="30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Gold as common surface, reflective field, and material labor</w:t>
            </w:r>
          </w:p>
        </w:tc>
        <w:tc>
          <w:tcPr>
            <w:tcW w:type="dxa" w:w="2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Magic; luxury; alchemy; glitter; opulence</w:t>
            </w:r>
          </w:p>
        </w:tc>
        <w:tc>
          <w:tcPr>
            <w:tcW w:type="dxa" w:w="36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Moves the reading from spectacle to method.</w:t>
            </w:r>
          </w:p>
        </w:tc>
      </w:tr>
      <w:tr>
        <w:trPr>
          <w:cantSplit/>
        </w:trPr>
        <w:tc>
          <w:tcPr>
            <w:tcW w:type="dxa" w:w="30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Biographical rupture as formal pressure</w:t>
            </w:r>
          </w:p>
        </w:tc>
        <w:tc>
          <w:tcPr>
            <w:tcW w:type="dxa" w:w="2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Escape story as homepage spectacle</w:t>
            </w:r>
          </w:p>
        </w:tc>
        <w:tc>
          <w:tcPr>
            <w:tcW w:type="dxa" w:w="36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Keeps the life-work link rigorous and avoids pandering.</w:t>
            </w:r>
          </w:p>
        </w:tc>
      </w:tr>
      <w:tr>
        <w:trPr>
          <w:cantSplit/>
        </w:trPr>
        <w:tc>
          <w:tcPr>
            <w:tcW w:type="dxa" w:w="30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Return of the figure</w:t>
            </w:r>
          </w:p>
        </w:tc>
        <w:tc>
          <w:tcPr>
            <w:tcW w:type="dxa" w:w="2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Regression from abstraction</w:t>
            </w:r>
          </w:p>
        </w:tc>
        <w:tc>
          <w:tcPr>
            <w:tcW w:type="dxa" w:w="36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Shows the career as oscillation, not stylistic inconsistency.</w:t>
            </w:r>
          </w:p>
        </w:tc>
      </w:tr>
      <w:tr>
        <w:trPr>
          <w:cantSplit/>
        </w:trPr>
        <w:tc>
          <w:tcPr>
            <w:tcW w:type="dxa" w:w="30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Transition from common surface to plural color</w:t>
            </w:r>
          </w:p>
        </w:tc>
        <w:tc>
          <w:tcPr>
            <w:tcW w:type="dxa" w:w="270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Abandonment of gold</w:t>
            </w:r>
          </w:p>
        </w:tc>
        <w:tc>
          <w:tcPr>
            <w:tcW w:type="dxa" w:w="36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Makes the new work continuous with the historical practice.</w:t>
            </w:r>
          </w:p>
        </w:tc>
      </w:tr>
    </w:tbl>
    <w:p>
      <w:pPr>
        <w:spacing w:after="0"/>
      </w:pPr>
    </w:p>
    <w:p>
      <w:pPr>
        <w:pStyle w:val="Heading1"/>
      </w:pPr>
      <w:r>
        <w:t>8. Art-historical placement</w:t>
      </w:r>
    </w:p>
    <w:p>
      <w:pPr>
        <w:keepLines w:val="0"/>
      </w:pPr>
      <w:r>
        <w:rPr>
          <w:rFonts w:ascii="Calibri" w:hAnsi="Calibri" w:eastAsia="Calibri"/>
          <w:i w:val="0"/>
        </w:rPr>
        <w:t>Minimalism provides the vocabulary of serial units, repetition, scale, objecthood, and activated architecture. Post-Minimalism provides process, bodily labor, contingency, responsive matter, and duration. Zadikian belongs in the overlap while complicating both through gold, figuration, cultural memory, and the refusal of neutral surface.</w:t>
      </w:r>
    </w:p>
    <w:p>
      <w:pPr>
        <w:keepLines w:val="0"/>
      </w:pPr>
      <w:r>
        <w:rPr>
          <w:rFonts w:ascii="Calibri" w:hAnsi="Calibri" w:eastAsia="Calibri"/>
          <w:i w:val="0"/>
        </w:rPr>
        <w:t>The strongest canonical case is cumulative. The 1973 whole-room work at 112 Greene Street, MoMA PS1 records, and the Serra collaboration establish historical presence. The 1984 New Portrait participation establishes that the return to representation occurred inside a major New York conversation. Recent institutional presentations reactivate rather than invent the practice. The website should make this evidence visible through chronology, archival images, and citations rather than a name-heavy artist statement.</w:t>
      </w:r>
    </w:p>
    <w:p>
      <w:pPr>
        <w:keepLines w:val="0"/>
      </w:pPr>
      <w:r>
        <w:rPr>
          <w:rFonts w:ascii="Calibri" w:hAnsi="Calibri" w:eastAsia="Calibri"/>
          <w:i w:val="0"/>
        </w:rPr>
        <w:t>Comparisons to Cezanne, Newman, Rothko, Rauschenberg, Johns, Warhol, and Christo belong in commissioned essays and exhibition texts, where their terms can be explained. They should not crowd the homepage. The primary site vocabulary must arise from Zadikian's own operations: field, unit, repetition, gravity, surface, body, touch, and open structure.</w:t>
      </w:r>
    </w:p>
    <w:p>
      <w:pPr>
        <w:pStyle w:val="Heading1"/>
      </w:pPr>
      <w:r>
        <w:t>9. Documented institutional sequence</w:t>
      </w:r>
    </w:p>
    <w:tbl>
      <w:tblPr>
        <w:tblW w:type="dxa" w:w="9360"/>
        <w:jc w:val="left"/>
        <w:tblLayout w:type="fixed"/>
        <w:tblLook w:firstColumn="1" w:firstRow="1" w:lastColumn="0" w:lastRow="0" w:noHBand="0" w:noVBand="1" w:val="04A0"/>
        <w:tblInd w:type="dxa" w:w="120"/>
      </w:tblPr>
      <w:tblGrid>
        <w:gridCol w:w="1050"/>
        <w:gridCol w:w="3150"/>
        <w:gridCol w:w="5160"/>
      </w:tblGrid>
      <w:tr>
        <w:trPr>
          <w:tblHeader w:val="true"/>
        </w:trPr>
        <w:tc>
          <w:tcPr>
            <w:tcW w:type="dxa" w:w="105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Date</w:t>
            </w:r>
          </w:p>
        </w:tc>
        <w:tc>
          <w:tcPr>
            <w:tcW w:type="dxa" w:w="315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Event</w:t>
            </w:r>
          </w:p>
        </w:tc>
        <w:tc>
          <w:tcPr>
            <w:tcW w:type="dxa" w:w="5160"/>
            <w:shd w:fill="F4EFE7"/>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b/>
                <w:color w:val="65401F"/>
                <w:sz w:val="17"/>
              </w:rPr>
              <w:t>Narrative significance</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1973</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112 Greene Street / Workshop</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Total-room yellow intervention; official White Columns archive.</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1974</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MoMA PS1: Billboard Painting</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Official exhibition record and installation image.</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1974-75</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Serra installation drawings</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Serra documents collaborative labor and paintstick-block discovery.</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1978</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MoMA PS1: Special Projects; Tehran Gold Bricks</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Institutional record plus first-party/market history of the lost brick installation.</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1984</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MoMA PS1: The New Portrait</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Major multi-generational context for renewed figuration.</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1985</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Newport Harbor Art Museum</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Museum solo exhibition listed on the artist resume; obtain checklist/catalogue.</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2024-25</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Brooklyn Museum: Solid Gold</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Path to Nine in a large institutional survey of gold across cultures and periods.</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2025-26</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Cafesjian Center: RETURN</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First major return exhibition in Armenia; obtain exhibition dossier.</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2025</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Independent 20th Century: Made in USA</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Historical reappraisal context; 160 gold-on-plaster units in a nine-foot column.</w:t>
            </w:r>
          </w:p>
        </w:tc>
      </w:tr>
      <w:tr>
        <w:trPr>
          <w:cantSplit/>
        </w:trPr>
        <w:tc>
          <w:tcPr>
            <w:tcW w:type="dxa" w:w="10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2026</w:t>
            </w:r>
          </w:p>
        </w:tc>
        <w:tc>
          <w:tcPr>
            <w:tcW w:type="dxa" w:w="315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Armenian Pavilion, Venice Biennale: The Studio</w:t>
            </w:r>
          </w:p>
        </w:tc>
        <w:tc>
          <w:tcPr>
            <w:tcW w:type="dxa" w:w="5160"/>
            <w:tcBorders>
              <w:top w:val="single" w:sz="4" w:color="D8D0C5"/>
              <w:left w:val="single" w:sz="4" w:color="D8D0C5"/>
              <w:bottom w:val="single" w:sz="4" w:color="D8D0C5"/>
              <w:right w:val="single" w:sz="4" w:color="D8D0C5"/>
              <w:insideH w:val="single" w:sz="4" w:color="D8D0C5"/>
              <w:insideV w:val="single" w:sz="4" w:color="D8D0C5"/>
            </w:tcBorders>
            <w:vAlign w:val="center"/>
            <w:tcMar>
              <w:top w:w="90" w:type="dxa"/>
              <w:start w:w="120" w:type="dxa"/>
              <w:bottom w:w="90" w:type="dxa"/>
              <w:end w:w="120" w:type="dxa"/>
            </w:tcMar>
          </w:tcPr>
          <w:p>
            <w:r>
              <w:rPr>
                <w:rFonts w:ascii="Calibri" w:hAnsi="Calibri" w:eastAsia="Calibri"/>
                <w:sz w:val="16"/>
              </w:rPr>
              <w:t>Official national presentation; live casting, assembly, movable pigment-infused units.</w:t>
            </w:r>
          </w:p>
        </w:tc>
      </w:tr>
    </w:tbl>
    <w:p>
      <w:pPr>
        <w:spacing w:after="0"/>
      </w:pPr>
    </w:p>
    <w:p>
      <w:pPr>
        <w:pStyle w:val="Heading1"/>
      </w:pPr>
      <w:r>
        <w:t>10. Publicly documented holdings</w:t>
      </w:r>
    </w:p>
    <w:p>
      <w:pPr>
        <w:numPr>
          <w:ilvl w:val="0"/>
          <w:numId w:val="10"/>
        </w:numPr>
        <w:spacing w:after="80" w:line="290" w:lineRule="auto"/>
      </w:pPr>
      <w:r>
        <w:rPr>
          <w:rFonts w:ascii="Calibri" w:hAnsi="Calibri" w:eastAsia="Calibri"/>
          <w:b/>
          <w:color w:val="3D3A36"/>
        </w:rPr>
        <w:t>Martin Z. Margulies Family Collection:</w:t>
      </w:r>
      <w:r>
        <w:rPr>
          <w:rFonts w:ascii="Calibri" w:hAnsi="Calibri" w:eastAsia="Calibri"/>
        </w:rPr>
        <w:t xml:space="preserve"> The Greek (1986), oil-painted plaster on burlap support, documented in an exhibition catalogue.</w:t>
      </w:r>
    </w:p>
    <w:p>
      <w:pPr>
        <w:numPr>
          <w:ilvl w:val="0"/>
          <w:numId w:val="10"/>
        </w:numPr>
        <w:spacing w:after="80" w:line="290" w:lineRule="auto"/>
      </w:pPr>
      <w:r>
        <w:rPr>
          <w:rFonts w:ascii="Calibri" w:hAnsi="Calibri" w:eastAsia="Calibri"/>
          <w:b/>
          <w:color w:val="3D3A36"/>
        </w:rPr>
        <w:t>Cafesjian Art Trust Museum and Cafesjian family collections/archives:</w:t>
      </w:r>
      <w:r>
        <w:rPr>
          <w:rFonts w:ascii="Calibri" w:hAnsi="Calibri" w:eastAsia="Calibri"/>
        </w:rPr>
        <w:t xml:space="preserve"> the museum reports a cache of Zadikian works and archival material, including the Caravan Exhibition Maquette (2001), on loan from the Collection of Thomas Cafesjian and Kathleen Cafesjian Baradaran.</w:t>
      </w:r>
    </w:p>
    <w:p>
      <w:pPr>
        <w:spacing w:before="120" w:after="200" w:line="288" w:lineRule="auto"/>
        <w:ind w:left="230" w:right="230"/>
        <w:shd w:fill="F8ECE8"/>
        <w:pBdr>
          <w:left w:val="single" w:sz="20" w:space="5" w:color="8A2F2F"/>
        </w:pBdr>
      </w:pPr>
      <w:r>
        <w:rPr>
          <w:rFonts w:ascii="Calibri" w:hAnsi="Calibri" w:eastAsia="Calibri"/>
          <w:b/>
          <w:color w:val="8A2F2F"/>
          <w:sz w:val="18"/>
        </w:rPr>
        <w:t xml:space="preserve">COLLECTIONS RULE  </w:t>
      </w:r>
      <w:r>
        <w:rPr>
          <w:rFonts w:ascii="Calibri" w:hAnsi="Calibri" w:eastAsia="Calibri"/>
          <w:sz w:val="21"/>
        </w:rPr>
        <w:t>Do not list MoMA, the Brooklyn Museum, or an exhibition venue as a collection unless acquisition or ownership is independently confirmed. Exhibition history is not collection history.</w:t>
      </w:r>
    </w:p>
    <w:p>
      <w:pPr>
        <w:pStyle w:val="Heading1"/>
      </w:pPr>
      <w:r>
        <w:t>11. Evidence gaps to resolve before launch</w:t>
      </w:r>
    </w:p>
    <w:p>
      <w:pPr>
        <w:numPr>
          <w:ilvl w:val="0"/>
          <w:numId w:val="10"/>
        </w:numPr>
        <w:spacing w:after="80" w:line="290" w:lineRule="auto"/>
      </w:pPr>
      <w:r>
        <w:rPr>
          <w:rFonts w:ascii="Calibri" w:hAnsi="Calibri" w:eastAsia="Calibri"/>
        </w:rPr>
        <w:t>Confirm the birth year. The current biography and some recent sources use 1948; the resume and Getty ULAN use 1946.</w:t>
      </w:r>
    </w:p>
    <w:p>
      <w:pPr>
        <w:numPr>
          <w:ilvl w:val="0"/>
          <w:numId w:val="10"/>
        </w:numPr>
        <w:spacing w:after="80" w:line="290" w:lineRule="auto"/>
      </w:pPr>
      <w:r>
        <w:rPr>
          <w:rFonts w:ascii="Calibri" w:hAnsi="Calibri" w:eastAsia="Calibri"/>
        </w:rPr>
        <w:t>Confirm the migration chronology. First-person sources identify the 1965 crossing; the site biography, resume, Rome study, Beirut, and San Francisco dates do not yet form one clean sequence.</w:t>
      </w:r>
    </w:p>
    <w:p>
      <w:pPr>
        <w:numPr>
          <w:ilvl w:val="0"/>
          <w:numId w:val="10"/>
        </w:numPr>
        <w:spacing w:after="80" w:line="290" w:lineRule="auto"/>
      </w:pPr>
      <w:r>
        <w:rPr>
          <w:rFonts w:ascii="Calibri" w:hAnsi="Calibri" w:eastAsia="Calibri"/>
        </w:rPr>
        <w:t>Create a studio-approved master chronology for 1973-78, including the yellow room, billboard, gilded studio, PS1 stairways, and Tehran bricks.</w:t>
      </w:r>
    </w:p>
    <w:p>
      <w:pPr>
        <w:numPr>
          <w:ilvl w:val="0"/>
          <w:numId w:val="10"/>
        </w:numPr>
        <w:spacing w:after="80" w:line="290" w:lineRule="auto"/>
      </w:pPr>
      <w:r>
        <w:rPr>
          <w:rFonts w:ascii="Calibri" w:hAnsi="Calibri" w:eastAsia="Calibri"/>
        </w:rPr>
        <w:t>Resolve the Path to Nine component count. Published descriptions variously imply 972, 999, or more than 1,000 units.</w:t>
      </w:r>
    </w:p>
    <w:p>
      <w:pPr>
        <w:numPr>
          <w:ilvl w:val="0"/>
          <w:numId w:val="10"/>
        </w:numPr>
        <w:spacing w:after="80" w:line="290" w:lineRule="auto"/>
      </w:pPr>
      <w:r>
        <w:rPr>
          <w:rFonts w:ascii="Calibri" w:hAnsi="Calibri" w:eastAsia="Calibri"/>
        </w:rPr>
        <w:t>Inventory every current website image with title, date, medium, dimensions, edition status, photographer, copyright, and exhibition history.</w:t>
      </w:r>
    </w:p>
    <w:p>
      <w:pPr>
        <w:numPr>
          <w:ilvl w:val="0"/>
          <w:numId w:val="10"/>
        </w:numPr>
        <w:spacing w:after="80" w:line="290" w:lineRule="auto"/>
      </w:pPr>
      <w:r>
        <w:rPr>
          <w:rFonts w:ascii="Calibri" w:hAnsi="Calibri" w:eastAsia="Calibri"/>
        </w:rPr>
        <w:t>Obtain checklists and installation photography for Newport Harbor, The New Portrait, RETURN, Solid Gold, Independent 20th Century, and the Armenian Pavilion.</w:t>
      </w:r>
    </w:p>
    <w:p>
      <w:pPr>
        <w:numPr>
          <w:ilvl w:val="0"/>
          <w:numId w:val="10"/>
        </w:numPr>
        <w:spacing w:after="80" w:line="290" w:lineRule="auto"/>
      </w:pPr>
      <w:r>
        <w:rPr>
          <w:rFonts w:ascii="Calibri" w:hAnsi="Calibri" w:eastAsia="Calibri"/>
        </w:rPr>
        <w:t>Verify the Rauschenberg studio-space grant with archival documentation before elevating it in public copy.</w:t>
      </w:r>
    </w:p>
    <w:p>
      <w:pPr>
        <w:numPr>
          <w:ilvl w:val="0"/>
          <w:numId w:val="10"/>
        </w:numPr>
        <w:spacing w:after="80" w:line="290" w:lineRule="auto"/>
      </w:pPr>
      <w:r>
        <w:rPr>
          <w:rFonts w:ascii="Calibri" w:hAnsi="Calibri" w:eastAsia="Calibri"/>
        </w:rPr>
        <w:t>Build a confirmed collections list from letters, invoices, museum records, and collector permissions.</w:t>
      </w:r>
    </w:p>
    <w:p>
      <w:pPr>
        <w:pStyle w:val="Heading1"/>
      </w:pPr>
      <w:r>
        <w:t>12. Source index</w:t>
      </w:r>
    </w:p>
    <w:p>
      <w:pPr>
        <w:spacing w:after="40" w:line="245" w:lineRule="auto"/>
      </w:pPr>
      <w:r>
        <w:rPr>
          <w:rFonts w:ascii="Calibri" w:hAnsi="Calibri" w:eastAsia="Calibri"/>
          <w:b/>
          <w:color w:val="65401F"/>
          <w:sz w:val="15"/>
        </w:rPr>
        <w:t xml:space="preserve">FIRST PARTY  </w:t>
      </w:r>
      <w:hyperlink r:id="rId15">
        <w:r>
          <w:rPr>
            <w:color w:val="8B5A2B"/>
            <w:u w:val="single"/>
            <w:sz w:val="16"/>
            <w:szCs w:val="16"/>
          </w:rPr>
          <w:t>Zadik Zadikian - Work index</w:t>
        </w:r>
      </w:hyperlink>
      <w:r>
        <w:rPr>
          <w:rFonts w:ascii="Calibri" w:hAnsi="Calibri" w:eastAsia="Calibri"/>
          <w:color w:val="716C65"/>
          <w:sz w:val="16"/>
        </w:rPr>
        <w:t xml:space="preserve"> - Current collection structure and project texts.</w:t>
      </w:r>
    </w:p>
    <w:p>
      <w:pPr>
        <w:spacing w:after="40" w:line="245" w:lineRule="auto"/>
      </w:pPr>
      <w:r>
        <w:rPr>
          <w:rFonts w:ascii="Calibri" w:hAnsi="Calibri" w:eastAsia="Calibri"/>
          <w:b/>
          <w:color w:val="65401F"/>
          <w:sz w:val="15"/>
        </w:rPr>
        <w:t xml:space="preserve">FIRST PARTY  </w:t>
      </w:r>
      <w:hyperlink r:id="rId16">
        <w:r>
          <w:rPr>
            <w:color w:val="8B5A2B"/>
            <w:u w:val="single"/>
            <w:sz w:val="16"/>
            <w:szCs w:val="16"/>
          </w:rPr>
          <w:t>Zadik Zadikian - Biography</w:t>
        </w:r>
      </w:hyperlink>
      <w:r>
        <w:rPr>
          <w:rFonts w:ascii="Calibri" w:hAnsi="Calibri" w:eastAsia="Calibri"/>
          <w:color w:val="716C65"/>
          <w:sz w:val="16"/>
        </w:rPr>
        <w:t xml:space="preserve"> - Studio-published life and practice narrative; contains date conflicts.</w:t>
      </w:r>
    </w:p>
    <w:p>
      <w:pPr>
        <w:spacing w:after="40" w:line="245" w:lineRule="auto"/>
      </w:pPr>
      <w:r>
        <w:rPr>
          <w:rFonts w:ascii="Calibri" w:hAnsi="Calibri" w:eastAsia="Calibri"/>
          <w:b/>
          <w:color w:val="65401F"/>
          <w:sz w:val="15"/>
        </w:rPr>
        <w:t xml:space="preserve">FIRST PARTY  </w:t>
      </w:r>
      <w:hyperlink r:id="rId17">
        <w:r>
          <w:rPr>
            <w:color w:val="8B5A2B"/>
            <w:u w:val="single"/>
            <w:sz w:val="16"/>
            <w:szCs w:val="16"/>
          </w:rPr>
          <w:t>Zadik Zadikian - Resume</w:t>
        </w:r>
      </w:hyperlink>
      <w:r>
        <w:rPr>
          <w:rFonts w:ascii="Calibri" w:hAnsi="Calibri" w:eastAsia="Calibri"/>
          <w:color w:val="716C65"/>
          <w:sz w:val="16"/>
        </w:rPr>
        <w:t xml:space="preserve"> - Education and exhibition chronology; contains date conflicts.</w:t>
      </w:r>
    </w:p>
    <w:p>
      <w:pPr>
        <w:spacing w:after="40" w:line="245" w:lineRule="auto"/>
      </w:pPr>
      <w:r>
        <w:rPr>
          <w:rFonts w:ascii="Calibri" w:hAnsi="Calibri" w:eastAsia="Calibri"/>
          <w:b/>
          <w:color w:val="65401F"/>
          <w:sz w:val="15"/>
        </w:rPr>
        <w:t xml:space="preserve">INTERVIEW  </w:t>
      </w:r>
      <w:hyperlink r:id="rId18">
        <w:r>
          <w:rPr>
            <w:color w:val="8B5A2B"/>
            <w:u w:val="single"/>
            <w:sz w:val="16"/>
            <w:szCs w:val="16"/>
          </w:rPr>
          <w:t>Canvas - Zadik Zadikian</w:t>
        </w:r>
      </w:hyperlink>
      <w:r>
        <w:rPr>
          <w:rFonts w:ascii="Calibri" w:hAnsi="Calibri" w:eastAsia="Calibri"/>
          <w:color w:val="716C65"/>
          <w:sz w:val="16"/>
        </w:rPr>
        <w:t xml:space="preserve"> - Detailed first-person account of escape, making, gold, blocks, touch, and color.</w:t>
      </w:r>
    </w:p>
    <w:p>
      <w:pPr>
        <w:spacing w:after="40" w:line="245" w:lineRule="auto"/>
      </w:pPr>
      <w:r>
        <w:rPr>
          <w:rFonts w:ascii="Calibri" w:hAnsi="Calibri" w:eastAsia="Calibri"/>
          <w:b/>
          <w:color w:val="65401F"/>
          <w:sz w:val="15"/>
        </w:rPr>
        <w:t xml:space="preserve">ARCHIVE  </w:t>
      </w:r>
      <w:hyperlink r:id="rId19">
        <w:r>
          <w:rPr>
            <w:color w:val="8B5A2B"/>
            <w:u w:val="single"/>
            <w:sz w:val="16"/>
            <w:szCs w:val="16"/>
          </w:rPr>
          <w:t>White Columns - Zadik Zadikian</w:t>
        </w:r>
      </w:hyperlink>
      <w:r>
        <w:rPr>
          <w:rFonts w:ascii="Calibri" w:hAnsi="Calibri" w:eastAsia="Calibri"/>
          <w:color w:val="716C65"/>
          <w:sz w:val="16"/>
        </w:rPr>
        <w:t xml:space="preserve"> - Official history of the 1973 total-space work.</w:t>
      </w:r>
    </w:p>
    <w:p>
      <w:pPr>
        <w:spacing w:after="40" w:line="245" w:lineRule="auto"/>
      </w:pPr>
      <w:r>
        <w:rPr>
          <w:rFonts w:ascii="Calibri" w:hAnsi="Calibri" w:eastAsia="Calibri"/>
          <w:b/>
          <w:color w:val="65401F"/>
          <w:sz w:val="15"/>
        </w:rPr>
        <w:t xml:space="preserve">INSTITUTION  </w:t>
      </w:r>
      <w:hyperlink r:id="rId20">
        <w:r>
          <w:rPr>
            <w:color w:val="8B5A2B"/>
            <w:u w:val="single"/>
            <w:sz w:val="16"/>
            <w:szCs w:val="16"/>
          </w:rPr>
          <w:t>MoMA - Zadik Zadikian</w:t>
        </w:r>
      </w:hyperlink>
      <w:r>
        <w:rPr>
          <w:rFonts w:ascii="Calibri" w:hAnsi="Calibri" w:eastAsia="Calibri"/>
          <w:color w:val="716C65"/>
          <w:sz w:val="16"/>
        </w:rPr>
        <w:t xml:space="preserve"> - Official record of three MoMA PS1 exhibitions.</w:t>
      </w:r>
    </w:p>
    <w:p>
      <w:pPr>
        <w:spacing w:after="40" w:line="245" w:lineRule="auto"/>
      </w:pPr>
      <w:r>
        <w:rPr>
          <w:rFonts w:ascii="Calibri" w:hAnsi="Calibri" w:eastAsia="Calibri"/>
          <w:b/>
          <w:color w:val="65401F"/>
          <w:sz w:val="15"/>
        </w:rPr>
        <w:t xml:space="preserve">CURATORIAL ARCHIVE  </w:t>
      </w:r>
      <w:hyperlink r:id="rId21">
        <w:r>
          <w:rPr>
            <w:color w:val="8B5A2B"/>
            <w:u w:val="single"/>
            <w:sz w:val="16"/>
            <w:szCs w:val="16"/>
          </w:rPr>
          <w:t>Jeffrey Deitch - The New Portrait</w:t>
        </w:r>
      </w:hyperlink>
      <w:r>
        <w:rPr>
          <w:rFonts w:ascii="Calibri" w:hAnsi="Calibri" w:eastAsia="Calibri"/>
          <w:color w:val="716C65"/>
          <w:sz w:val="16"/>
        </w:rPr>
        <w:t xml:space="preserve"> - Context and artist list for the 1984 exhibition.</w:t>
      </w:r>
    </w:p>
    <w:p>
      <w:pPr>
        <w:spacing w:after="40" w:line="245" w:lineRule="auto"/>
      </w:pPr>
      <w:r>
        <w:rPr>
          <w:rFonts w:ascii="Calibri" w:hAnsi="Calibri" w:eastAsia="Calibri"/>
          <w:b/>
          <w:color w:val="65401F"/>
          <w:sz w:val="15"/>
        </w:rPr>
        <w:t xml:space="preserve">INTERVIEW  </w:t>
      </w:r>
      <w:hyperlink r:id="rId22">
        <w:r>
          <w:rPr>
            <w:color w:val="8B5A2B"/>
            <w:u w:val="single"/>
            <w:sz w:val="16"/>
            <w:szCs w:val="16"/>
          </w:rPr>
          <w:t>Richard Serra with Phong Bui</w:t>
        </w:r>
      </w:hyperlink>
      <w:r>
        <w:rPr>
          <w:rFonts w:ascii="Calibri" w:hAnsi="Calibri" w:eastAsia="Calibri"/>
          <w:color w:val="716C65"/>
          <w:sz w:val="16"/>
        </w:rPr>
        <w:t xml:space="preserve"> - Primary evidence for the 1974 collaborative drawing experiment.</w:t>
      </w:r>
    </w:p>
    <w:p>
      <w:pPr>
        <w:spacing w:after="40" w:line="245" w:lineRule="auto"/>
      </w:pPr>
      <w:r>
        <w:rPr>
          <w:rFonts w:ascii="Calibri" w:hAnsi="Calibri" w:eastAsia="Calibri"/>
          <w:b/>
          <w:color w:val="65401F"/>
          <w:sz w:val="15"/>
        </w:rPr>
        <w:t xml:space="preserve">MUSEUM  </w:t>
      </w:r>
      <w:hyperlink r:id="rId23">
        <w:r>
          <w:rPr>
            <w:color w:val="8B5A2B"/>
            <w:u w:val="single"/>
            <w:sz w:val="16"/>
            <w:szCs w:val="16"/>
          </w:rPr>
          <w:t>Brooklyn Museum - Solid Gold</w:t>
        </w:r>
      </w:hyperlink>
      <w:r>
        <w:rPr>
          <w:rFonts w:ascii="Calibri" w:hAnsi="Calibri" w:eastAsia="Calibri"/>
          <w:color w:val="716C65"/>
          <w:sz w:val="16"/>
        </w:rPr>
        <w:t xml:space="preserve"> - Exhibition scope and institutional context.</w:t>
      </w:r>
    </w:p>
    <w:p>
      <w:pPr>
        <w:spacing w:after="40" w:line="245" w:lineRule="auto"/>
      </w:pPr>
      <w:r>
        <w:rPr>
          <w:rFonts w:ascii="Calibri" w:hAnsi="Calibri" w:eastAsia="Calibri"/>
          <w:b/>
          <w:color w:val="65401F"/>
          <w:sz w:val="15"/>
        </w:rPr>
        <w:t xml:space="preserve">MUSEUM PRESS  </w:t>
      </w:r>
      <w:hyperlink r:id="rId24">
        <w:r>
          <w:rPr>
            <w:color w:val="8B5A2B"/>
            <w:u w:val="single"/>
            <w:sz w:val="16"/>
            <w:szCs w:val="16"/>
          </w:rPr>
          <w:t>Brooklyn Museum - Solid Gold press release</w:t>
        </w:r>
      </w:hyperlink>
      <w:r>
        <w:rPr>
          <w:rFonts w:ascii="Calibri" w:hAnsi="Calibri" w:eastAsia="Calibri"/>
          <w:color w:val="716C65"/>
          <w:sz w:val="16"/>
        </w:rPr>
        <w:t xml:space="preserve"> - Identifies Path to Nine and its conceptual framing.</w:t>
      </w:r>
    </w:p>
    <w:p>
      <w:pPr>
        <w:spacing w:after="40" w:line="245" w:lineRule="auto"/>
      </w:pPr>
      <w:r>
        <w:rPr>
          <w:rFonts w:ascii="Calibri" w:hAnsi="Calibri" w:eastAsia="Calibri"/>
          <w:b/>
          <w:color w:val="65401F"/>
          <w:sz w:val="15"/>
        </w:rPr>
        <w:t xml:space="preserve">FAIR  </w:t>
      </w:r>
      <w:hyperlink r:id="rId25">
        <w:r>
          <w:rPr>
            <w:color w:val="8B5A2B"/>
            <w:u w:val="single"/>
            <w:sz w:val="16"/>
            <w:szCs w:val="16"/>
          </w:rPr>
          <w:t>Independent 20th Century - 2025 details</w:t>
        </w:r>
      </w:hyperlink>
      <w:r>
        <w:rPr>
          <w:rFonts w:ascii="Calibri" w:hAnsi="Calibri" w:eastAsia="Calibri"/>
          <w:color w:val="716C65"/>
          <w:sz w:val="16"/>
        </w:rPr>
        <w:t xml:space="preserve"> - Canon-reframing mission and Made in USA description.</w:t>
      </w:r>
    </w:p>
    <w:p>
      <w:pPr>
        <w:spacing w:after="40" w:line="245" w:lineRule="auto"/>
      </w:pPr>
      <w:r>
        <w:rPr>
          <w:rFonts w:ascii="Calibri" w:hAnsi="Calibri" w:eastAsia="Calibri"/>
          <w:b/>
          <w:color w:val="65401F"/>
          <w:sz w:val="15"/>
        </w:rPr>
        <w:t xml:space="preserve">PRESS  </w:t>
      </w:r>
      <w:hyperlink r:id="rId26">
        <w:r>
          <w:rPr>
            <w:color w:val="8B5A2B"/>
            <w:u w:val="single"/>
            <w:sz w:val="16"/>
            <w:szCs w:val="16"/>
          </w:rPr>
          <w:t>Family Style - Gilded Stacks</w:t>
        </w:r>
      </w:hyperlink>
      <w:r>
        <w:rPr>
          <w:rFonts w:ascii="Calibri" w:hAnsi="Calibri" w:eastAsia="Calibri"/>
          <w:color w:val="716C65"/>
          <w:sz w:val="16"/>
        </w:rPr>
        <w:t xml:space="preserve"> - Interview-based history of Tehran, stacks, New York, and gold.</w:t>
      </w:r>
    </w:p>
    <w:p>
      <w:pPr>
        <w:spacing w:after="40" w:line="245" w:lineRule="auto"/>
      </w:pPr>
      <w:r>
        <w:rPr>
          <w:rFonts w:ascii="Calibri" w:hAnsi="Calibri" w:eastAsia="Calibri"/>
          <w:b/>
          <w:color w:val="65401F"/>
          <w:sz w:val="15"/>
        </w:rPr>
        <w:t xml:space="preserve">INSTITUTION  </w:t>
      </w:r>
      <w:hyperlink r:id="rId27">
        <w:r>
          <w:rPr>
            <w:color w:val="8B5A2B"/>
            <w:u w:val="single"/>
            <w:sz w:val="16"/>
            <w:szCs w:val="16"/>
          </w:rPr>
          <w:t>Cafesjian Center - past exhibitions</w:t>
        </w:r>
      </w:hyperlink>
      <w:r>
        <w:rPr>
          <w:rFonts w:ascii="Calibri" w:hAnsi="Calibri" w:eastAsia="Calibri"/>
          <w:color w:val="716C65"/>
          <w:sz w:val="16"/>
        </w:rPr>
        <w:t xml:space="preserve"> - Official dates for RETURN.</w:t>
      </w:r>
    </w:p>
    <w:p>
      <w:pPr>
        <w:spacing w:after="40" w:line="245" w:lineRule="auto"/>
      </w:pPr>
      <w:r>
        <w:rPr>
          <w:rFonts w:ascii="Calibri" w:hAnsi="Calibri" w:eastAsia="Calibri"/>
          <w:b/>
          <w:color w:val="65401F"/>
          <w:sz w:val="15"/>
        </w:rPr>
        <w:t xml:space="preserve">INSTITUTION  </w:t>
      </w:r>
      <w:hyperlink r:id="rId28">
        <w:r>
          <w:rPr>
            <w:color w:val="8B5A2B"/>
            <w:u w:val="single"/>
            <w:sz w:val="16"/>
            <w:szCs w:val="16"/>
          </w:rPr>
          <w:t>La Biennale di Venezia - Armenia</w:t>
        </w:r>
      </w:hyperlink>
      <w:r>
        <w:rPr>
          <w:rFonts w:ascii="Calibri" w:hAnsi="Calibri" w:eastAsia="Calibri"/>
          <w:color w:val="716C65"/>
          <w:sz w:val="16"/>
        </w:rPr>
        <w:t xml:space="preserve"> - Official national pavilion description.</w:t>
      </w:r>
    </w:p>
    <w:p>
      <w:pPr>
        <w:spacing w:after="40" w:line="245" w:lineRule="auto"/>
      </w:pPr>
      <w:r>
        <w:rPr>
          <w:rFonts w:ascii="Calibri" w:hAnsi="Calibri" w:eastAsia="Calibri"/>
          <w:b/>
          <w:color w:val="65401F"/>
          <w:sz w:val="15"/>
        </w:rPr>
        <w:t xml:space="preserve">PAVILION  </w:t>
      </w:r>
      <w:hyperlink r:id="rId29">
        <w:r>
          <w:rPr>
            <w:color w:val="8B5A2B"/>
            <w:u w:val="single"/>
            <w:sz w:val="16"/>
            <w:szCs w:val="16"/>
          </w:rPr>
          <w:t>Armenian Pavilion 2026 - The Artist</w:t>
        </w:r>
      </w:hyperlink>
      <w:r>
        <w:rPr>
          <w:rFonts w:ascii="Calibri" w:hAnsi="Calibri" w:eastAsia="Calibri"/>
          <w:color w:val="716C65"/>
          <w:sz w:val="16"/>
        </w:rPr>
        <w:t xml:space="preserve"> - Current interpretive narrative; useful but rhetorically promotional.</w:t>
      </w:r>
    </w:p>
    <w:p>
      <w:pPr>
        <w:spacing w:after="40" w:line="245" w:lineRule="auto"/>
      </w:pPr>
      <w:r>
        <w:rPr>
          <w:rFonts w:ascii="Calibri" w:hAnsi="Calibri" w:eastAsia="Calibri"/>
          <w:b/>
          <w:color w:val="65401F"/>
          <w:sz w:val="15"/>
        </w:rPr>
        <w:t xml:space="preserve">COLLECTION  </w:t>
      </w:r>
      <w:hyperlink r:id="rId30">
        <w:r>
          <w:rPr>
            <w:color w:val="8B5A2B"/>
            <w:u w:val="single"/>
            <w:sz w:val="16"/>
            <w:szCs w:val="16"/>
          </w:rPr>
          <w:t>Cafesjian Art Trust - archives</w:t>
        </w:r>
      </w:hyperlink>
      <w:r>
        <w:rPr>
          <w:rFonts w:ascii="Calibri" w:hAnsi="Calibri" w:eastAsia="Calibri"/>
          <w:color w:val="716C65"/>
          <w:sz w:val="16"/>
        </w:rPr>
        <w:t xml:space="preserve"> - Public evidence of works and Caravan material in the collections/archives.</w:t>
      </w:r>
    </w:p>
    <w:p>
      <w:pPr>
        <w:spacing w:after="40" w:line="245" w:lineRule="auto"/>
      </w:pPr>
      <w:r>
        <w:rPr>
          <w:rFonts w:ascii="Calibri" w:hAnsi="Calibri" w:eastAsia="Calibri"/>
          <w:b/>
          <w:color w:val="65401F"/>
          <w:sz w:val="15"/>
        </w:rPr>
        <w:t xml:space="preserve">COLLECTION  </w:t>
      </w:r>
      <w:hyperlink r:id="rId31">
        <w:r>
          <w:rPr>
            <w:color w:val="8B5A2B"/>
            <w:u w:val="single"/>
            <w:sz w:val="16"/>
            <w:szCs w:val="16"/>
          </w:rPr>
          <w:t>American Art Today: Heads Only</w:t>
        </w:r>
      </w:hyperlink>
      <w:r>
        <w:rPr>
          <w:rFonts w:ascii="Calibri" w:hAnsi="Calibri" w:eastAsia="Calibri"/>
          <w:color w:val="716C65"/>
          <w:sz w:val="16"/>
        </w:rPr>
        <w:t xml:space="preserve"> - Documents The Greek in the Margulies Family Collection.</w:t>
      </w:r>
    </w:p>
    <w:p>
      <w:pPr>
        <w:spacing w:after="40" w:line="245" w:lineRule="auto"/>
      </w:pPr>
      <w:r>
        <w:rPr>
          <w:rFonts w:ascii="Calibri" w:hAnsi="Calibri" w:eastAsia="Calibri"/>
          <w:b/>
          <w:color w:val="65401F"/>
          <w:sz w:val="15"/>
        </w:rPr>
        <w:t xml:space="preserve">AUTHORITY  </w:t>
      </w:r>
      <w:hyperlink r:id="rId32">
        <w:r>
          <w:rPr>
            <w:color w:val="8B5A2B"/>
            <w:u w:val="single"/>
            <w:sz w:val="16"/>
            <w:szCs w:val="16"/>
          </w:rPr>
          <w:t>Getty ULAN - Zadik Zadikian</w:t>
        </w:r>
      </w:hyperlink>
      <w:r>
        <w:rPr>
          <w:rFonts w:ascii="Calibri" w:hAnsi="Calibri" w:eastAsia="Calibri"/>
          <w:color w:val="716C65"/>
          <w:sz w:val="16"/>
        </w:rPr>
        <w:t xml:space="preserve"> - Authority record using 1946; confirms the need to resolve the birth year.</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716C65"/>
        <w:sz w:val="17"/>
      </w:rPr>
      <w:t xml:space="preserve">Prepared 23 August 2026   •   </w:t>
    </w:r>
    <w:r>
      <w:rPr>
        <w:rFonts w:ascii="Calibri" w:hAnsi="Calibri" w:eastAsia="Calibri"/>
        <w:color w:val="716C6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716C65"/>
        <w:sz w:val="17"/>
      </w:rPr>
      <w:t xml:space="preserve">Prepared 23 August 2026   •   </w:t>
    </w:r>
    <w:r>
      <w:rPr>
        <w:rFonts w:ascii="Calibri" w:hAnsi="Calibri" w:eastAsia="Calibri"/>
        <w:color w:val="716C65"/>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716C65"/>
        <w:sz w:val="17"/>
      </w:rPr>
      <w:t xml:space="preserve">Prepared 23 August 2026   •   </w:t>
    </w:r>
    <w:r>
      <w:rPr>
        <w:rFonts w:ascii="Calibri" w:hAnsi="Calibri" w:eastAsia="Calibri"/>
        <w:color w:val="716C6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716C65"/>
        <w:sz w:val="16"/>
      </w:rPr>
      <w:t>ZADIK ZADIKIAN   |   RETROSPECTIVE ANALYSIS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716C65"/>
        <w:sz w:val="16"/>
      </w:rPr>
      <w:t>ZADIK ZADIKIAN   |   RETROSPECTIVE ANALYSIS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716C65"/>
        <w:sz w:val="16"/>
      </w:rPr>
      <w:t>ZADIK ZADIKIAN   |   RETROSPECTIVE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2423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5401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8B5A2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D3A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4232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pPr>
    <w:rPr>
      <w:rFonts w:asciiTheme="majorHAnsi" w:eastAsiaTheme="majorEastAsia" w:hAnsiTheme="majorHAnsi" w:cstheme="majorBidi" w:ascii="Calibri" w:hAnsi="Calibri"/>
      <w:b w:val="0"/>
      <w:i/>
      <w:iCs/>
      <w:color w:val="716C6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www.zadikzadikian.com/" TargetMode="External"/><Relationship Id="rId16" Type="http://schemas.openxmlformats.org/officeDocument/2006/relationships/hyperlink" Target="https://www.zadikzadikian.com/bio" TargetMode="External"/><Relationship Id="rId17" Type="http://schemas.openxmlformats.org/officeDocument/2006/relationships/hyperlink" Target="https://www.zadikzadikian.com/resume" TargetMode="External"/><Relationship Id="rId18" Type="http://schemas.openxmlformats.org/officeDocument/2006/relationships/hyperlink" Target="https://canvasonline.com/zadik-zadikian/" TargetMode="External"/><Relationship Id="rId19" Type="http://schemas.openxmlformats.org/officeDocument/2006/relationships/hyperlink" Target="https://whitecolumns.org/exhibitions/zadik-zadikian/" TargetMode="External"/><Relationship Id="rId20" Type="http://schemas.openxmlformats.org/officeDocument/2006/relationships/hyperlink" Target="https://www.moma.org/artists/73891" TargetMode="External"/><Relationship Id="rId21" Type="http://schemas.openxmlformats.org/officeDocument/2006/relationships/hyperlink" Target="https://www.deitch.com/archive/curatorial/the-new-portrait" TargetMode="External"/><Relationship Id="rId22" Type="http://schemas.openxmlformats.org/officeDocument/2006/relationships/hyperlink" Target="https://brooklynrail.org/2011/07/art/richard-serra-with-phong-bui-july11/" TargetMode="External"/><Relationship Id="rId23" Type="http://schemas.openxmlformats.org/officeDocument/2006/relationships/hyperlink" Target="https://www.brooklynmuseum.org/exhibitions/solid-gold" TargetMode="External"/><Relationship Id="rId24" Type="http://schemas.openxmlformats.org/officeDocument/2006/relationships/hyperlink" Target="https://d1lfxha3ugu3d4.cloudfront.net/press/docs/BrooklynMuseum_PressRelease_SolidGold_6.12_FINAL_2.35pm.pdf" TargetMode="External"/><Relationship Id="rId25" Type="http://schemas.openxmlformats.org/officeDocument/2006/relationships/hyperlink" Target="https://www.independenthq.com/features/announcing-details-of-the-fourth-edition-of-independent-20th-century" TargetMode="External"/><Relationship Id="rId26" Type="http://schemas.openxmlformats.org/officeDocument/2006/relationships/hyperlink" Target="https://www.family.style/articles/zadik-zadikian-tony-shafrazi-independent-20th-century" TargetMode="External"/><Relationship Id="rId27" Type="http://schemas.openxmlformats.org/officeDocument/2006/relationships/hyperlink" Target="https://www.cmf.am/en/exhibitions/past" TargetMode="External"/><Relationship Id="rId28" Type="http://schemas.openxmlformats.org/officeDocument/2006/relationships/hyperlink" Target="https://www.labiennale.org/en/art/2026/armenia-republic" TargetMode="External"/><Relationship Id="rId29" Type="http://schemas.openxmlformats.org/officeDocument/2006/relationships/hyperlink" Target="https://armenianpavilion2026.org/artist" TargetMode="External"/><Relationship Id="rId30" Type="http://schemas.openxmlformats.org/officeDocument/2006/relationships/hyperlink" Target="https://www.thecat.org/blog/october-is-american-archives-month" TargetMode="External"/><Relationship Id="rId31" Type="http://schemas.openxmlformats.org/officeDocument/2006/relationships/hyperlink" Target="https://digitalcommons.fiu.edu/record/17479/files/PDF_20American_20Art_20Today_20Heads_20Only_IR.pdf" TargetMode="External"/><Relationship Id="rId32" Type="http://schemas.openxmlformats.org/officeDocument/2006/relationships/hyperlink" Target="https://www.getty.edu/vow/ULANFullDisplay?find=500064729&amp;nation=&amp;role=&amp;subjectid=5005942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Zadik Zadikian - Retrospective Analysis</dc:title>
  <dc:subject>Retrospective narrative, website collection audit, and vocabulary</dc:subject>
  <dc:creator>AZ Studios</dc:creator>
  <cp:keywords>Zadik Zadikian; artist website; retrospective; Minimalism; post-Minimalism; sculpture</cp:keywords>
  <dc:description>generated by python-docx</dc:description>
  <cp:lastModifiedBy/>
  <cp:revision>1</cp:revision>
  <dcterms:created xsi:type="dcterms:W3CDTF">2013-12-23T23:15:00Z</dcterms:created>
  <dcterms:modified xsi:type="dcterms:W3CDTF">2013-12-23T23:15:00Z</dcterms:modified>
  <cp:category/>
</cp:coreProperties>
</file>