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Venus y su doble regencia de Tauro y Libra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 que está unido sin dejar de ser distinto.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Deseo doble: de posesión (atracción, gravedad) y de equilibrio, armonía, justicia.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distancia de lo propio.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justicia que se plasma en el dinero.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“el amor que mueve al Sol y las demás estrellas”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Dante, antes de la posición moderna, presentía que el amor participaba de la fuente de todo movimiento. El último verso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Divina Comedia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dice: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 ’Amor che move il Sole e l’altre stele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