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Fragmento de: Michel Foucault. “Hermenéutica del sujeto”. Apple Books.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“Denominaremos por tanto espiritualidad al conjunto de estas búsquedas, prácticas y experiencias entre las cuales se encuentran las purificaciones, la ascesis, las renuncias, las conversiones de la mirada, las modificaciones de la existencia que constituyen, no para el conocimiento sino para el sujeto, para el ser mismo del sujeto, el precio a pagar para tener acceso a la verdad.”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propio ser del sujeto está por tanto en juego ya que el precio de la verdad es la conversión del sujeto.</w:t>
      </w:r>
    </w:p>
    <w:p w:rsidR="00000000" w:rsidDel="00000000" w:rsidP="00000000" w:rsidRDefault="00000000" w:rsidRPr="00000000" w14:paraId="00000007">
      <w:pPr>
        <w:rPr/>
      </w:pPr>
      <w:r w:rsidDel="00000000" w:rsidR="00000000" w:rsidRPr="00000000">
        <w:rPr>
          <w:rtl w:val="0"/>
        </w:rPr>
        <w:t xml:space="preserve">En segundo lugar, no puede existir la verdad sin una conversión o sin una transformación del sujeto. Esta transformación se realiza a través del impulso del eros, del amor —movimiento a través del cual el sujeto se ve desgajado de su estatuto—, y por medio del trabajo que el sujeto realiza sobre sí mismo para convertirse al fin en un sujeto capaz de lograr la verdad mediante un movimiento de ascesis.”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