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308.5714285714286" w:lineRule="auto"/>
        <w:rPr>
          <w:b w:val="1"/>
          <w:bCs w:val="1"/>
          <w:color w:val="0f1111"/>
          <w:sz w:val="42"/>
          <w:szCs w:val="42"/>
        </w:rPr>
      </w:pPr>
      <w:bookmarkStart w:colFirst="0" w:colLast="0" w:name="_qla3plg5uggg" w:id="0"/>
      <w:bookmarkEnd w:id="0"/>
      <w:r w:rsidDel="00000000" w:rsidR="00000000" w:rsidRPr="00000000">
        <w:rPr>
          <w:b w:val="1"/>
          <w:bCs w:val="1"/>
          <w:color w:val="0f1111"/>
          <w:sz w:val="42"/>
          <w:szCs w:val="42"/>
          <w:rtl w:val="0"/>
        </w:rPr>
        <w:t xml:space="preserve">Prometheus the Awakener</w:t>
      </w:r>
    </w:p>
    <w:p w:rsidR="00000000" w:rsidDel="00000000" w:rsidP="00000000" w:rsidRDefault="00000000" w:rsidRPr="00000000" w14:paraId="00000002">
      <w:pPr>
        <w:pageBreakBefore w:val="0"/>
        <w:rPr/>
      </w:pPr>
      <w:r w:rsidDel="00000000" w:rsidR="00000000" w:rsidRPr="00000000">
        <w:rPr>
          <w:rtl w:val="0"/>
        </w:rPr>
        <w:t xml:space="preserve">Richard Tarnas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1"/>
        <w:keepNext w:val="0"/>
        <w:keepLines w:val="0"/>
        <w:pageBreakBefore w:val="0"/>
        <w:shd w:fill="ffffff" w:val="clear"/>
        <w:spacing w:after="320" w:before="0" w:lineRule="auto"/>
        <w:rPr>
          <w:b w:val="1"/>
          <w:bCs w:val="1"/>
          <w:color w:val="333333"/>
          <w:sz w:val="35"/>
          <w:szCs w:val="35"/>
        </w:rPr>
      </w:pPr>
      <w:bookmarkStart w:colFirst="0" w:colLast="0" w:name="_mit9jqn5i27p" w:id="1"/>
      <w:bookmarkEnd w:id="1"/>
      <w:r w:rsidDel="00000000" w:rsidR="00000000" w:rsidRPr="00000000">
        <w:rPr>
          <w:b w:val="1"/>
          <w:bCs w:val="1"/>
          <w:color w:val="333333"/>
          <w:sz w:val="21"/>
          <w:szCs w:val="21"/>
          <w:highlight w:val="white"/>
          <w:rtl w:val="0"/>
        </w:rPr>
        <w:t xml:space="preserve">Prometheus the Awakener is considered by many to be one of the finest astrological essays ever written. It has also been much praised by depth psychologists for its precise linking of an archetypal perspective in biography and history to the macrocosm of planetary movements, providing an invaluable new bridge between astrology and psychology.</w:t>
      </w:r>
      <w:r w:rsidDel="00000000" w:rsidR="00000000" w:rsidRPr="00000000">
        <w:rPr>
          <w:rtl w:val="0"/>
        </w:rPr>
      </w:r>
    </w:p>
    <w:p w:rsidR="00000000" w:rsidDel="00000000" w:rsidP="00000000" w:rsidRDefault="00000000" w:rsidRPr="00000000" w14:paraId="00000005">
      <w:pPr>
        <w:pStyle w:val="Heading1"/>
        <w:keepNext w:val="0"/>
        <w:keepLines w:val="0"/>
        <w:pageBreakBefore w:val="0"/>
        <w:shd w:fill="ffffff" w:val="clear"/>
        <w:spacing w:after="320" w:before="0" w:lineRule="auto"/>
        <w:rPr>
          <w:b w:val="1"/>
          <w:bCs w:val="1"/>
          <w:color w:val="333333"/>
          <w:sz w:val="35"/>
          <w:szCs w:val="35"/>
        </w:rPr>
      </w:pPr>
      <w:bookmarkStart w:colFirst="0" w:colLast="0" w:name="_meiu17e5gw88" w:id="2"/>
      <w:bookmarkEnd w:id="2"/>
      <w:r w:rsidDel="00000000" w:rsidR="00000000" w:rsidRPr="00000000">
        <w:rPr>
          <w:rtl w:val="0"/>
        </w:rPr>
      </w:r>
    </w:p>
    <w:p w:rsidR="00000000" w:rsidDel="00000000" w:rsidP="00000000" w:rsidRDefault="00000000" w:rsidRPr="00000000" w14:paraId="00000006">
      <w:pPr>
        <w:pStyle w:val="Heading1"/>
        <w:keepNext w:val="0"/>
        <w:keepLines w:val="0"/>
        <w:pageBreakBefore w:val="0"/>
        <w:shd w:fill="ffffff" w:val="clear"/>
        <w:spacing w:after="320" w:before="0" w:lineRule="auto"/>
        <w:rPr>
          <w:color w:val="333333"/>
          <w:sz w:val="23"/>
          <w:szCs w:val="23"/>
        </w:rPr>
      </w:pPr>
      <w:bookmarkStart w:colFirst="0" w:colLast="0" w:name="_bc6n7o685kgz" w:id="3"/>
      <w:bookmarkEnd w:id="3"/>
      <w:r w:rsidDel="00000000" w:rsidR="00000000" w:rsidRPr="00000000">
        <w:rPr>
          <w:b w:val="1"/>
          <w:bCs w:val="1"/>
          <w:color w:val="333333"/>
          <w:sz w:val="35"/>
          <w:szCs w:val="35"/>
          <w:rtl w:val="0"/>
        </w:rPr>
        <w:t xml:space="preserve">Los ojos de la piel</w:t>
      </w:r>
      <w:r w:rsidDel="00000000" w:rsidR="00000000" w:rsidRPr="00000000">
        <w:rPr>
          <w:b w:val="1"/>
          <w:bCs w:val="1"/>
          <w:color w:val="333333"/>
          <w:sz w:val="46"/>
          <w:szCs w:val="46"/>
          <w:rtl w:val="0"/>
        </w:rPr>
        <w:t xml:space="preserve">: </w:t>
      </w:r>
      <w:r w:rsidDel="00000000" w:rsidR="00000000" w:rsidRPr="00000000">
        <w:rPr>
          <w:color w:val="333333"/>
          <w:sz w:val="23"/>
          <w:szCs w:val="23"/>
          <w:rtl w:val="0"/>
        </w:rPr>
        <w:t xml:space="preserve">la arquitectura y los sentidos</w:t>
      </w:r>
    </w:p>
    <w:p w:rsidR="00000000" w:rsidDel="00000000" w:rsidP="00000000" w:rsidRDefault="00000000" w:rsidRPr="00000000" w14:paraId="00000007">
      <w:pPr>
        <w:pageBreakBefore w:val="0"/>
        <w:shd w:fill="ffffff" w:val="clear"/>
        <w:ind w:right="180"/>
        <w:rPr>
          <w:color w:val="333333"/>
          <w:sz w:val="23"/>
          <w:szCs w:val="23"/>
        </w:rPr>
      </w:pPr>
      <w:r w:rsidDel="00000000" w:rsidR="00000000" w:rsidRPr="00000000">
        <w:rPr>
          <w:color w:val="333333"/>
          <w:sz w:val="23"/>
          <w:szCs w:val="23"/>
        </w:rPr>
        <w:drawing>
          <wp:inline distB="114300" distT="114300" distL="114300" distR="114300">
            <wp:extent cx="1219200" cy="1733550"/>
            <wp:effectExtent b="0" l="0" r="0" t="0"/>
            <wp:docPr descr="Portada" id="1" name="image1.jpg"/>
            <a:graphic>
              <a:graphicData uri="http://schemas.openxmlformats.org/drawingml/2006/picture">
                <pic:pic>
                  <pic:nvPicPr>
                    <pic:cNvPr descr="Portada" id="0" name="image1.jpg"/>
                    <pic:cNvPicPr preferRelativeResize="0"/>
                  </pic:nvPicPr>
                  <pic:blipFill>
                    <a:blip r:embed="rId6"/>
                    <a:srcRect b="0" l="0" r="0" t="0"/>
                    <a:stretch>
                      <a:fillRect/>
                    </a:stretch>
                  </pic:blipFill>
                  <pic:spPr>
                    <a:xfrm>
                      <a:off x="0" y="0"/>
                      <a:ext cx="12192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hd w:fill="ffffff" w:val="clear"/>
        <w:spacing w:after="80" w:before="40" w:lineRule="auto"/>
        <w:rPr>
          <w:color w:val="6611cc"/>
          <w:sz w:val="20"/>
          <w:szCs w:val="20"/>
        </w:rPr>
      </w:pPr>
      <w:hyperlink r:id="rId7">
        <w:r w:rsidDel="00000000" w:rsidR="00000000" w:rsidRPr="00000000">
          <w:rPr>
            <w:color w:val="6611cc"/>
            <w:sz w:val="20"/>
            <w:szCs w:val="20"/>
            <w:rtl w:val="0"/>
          </w:rPr>
          <w:t xml:space="preserve">Juhani Pallasmaa</w:t>
        </w:r>
      </w:hyperlink>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1"/>
        <w:keepNext w:val="0"/>
        <w:keepLines w:val="0"/>
        <w:pageBreakBefore w:val="0"/>
        <w:pBdr>
          <w:top w:color="auto" w:space="0" w:sz="0" w:val="none"/>
          <w:left w:color="auto" w:space="0" w:sz="0" w:val="none"/>
          <w:bottom w:color="auto" w:space="1" w:sz="0" w:val="none"/>
          <w:right w:color="auto" w:space="0" w:sz="0" w:val="none"/>
        </w:pBdr>
        <w:shd w:fill="ffffff" w:val="clear"/>
        <w:spacing w:after="0" w:before="0" w:line="300" w:lineRule="auto"/>
        <w:rPr>
          <w:rFonts w:ascii="Merriweather" w:cs="Merriweather" w:eastAsia="Merriweather" w:hAnsi="Merriweather"/>
          <w:b w:val="1"/>
          <w:bCs w:val="1"/>
          <w:color w:val="333333"/>
          <w:sz w:val="36"/>
          <w:szCs w:val="36"/>
        </w:rPr>
      </w:pPr>
      <w:bookmarkStart w:colFirst="0" w:colLast="0" w:name="_1v8id1uq95mc" w:id="4"/>
      <w:bookmarkEnd w:id="4"/>
      <w:r w:rsidDel="00000000" w:rsidR="00000000" w:rsidRPr="00000000">
        <w:rPr>
          <w:rFonts w:ascii="Merriweather" w:cs="Merriweather" w:eastAsia="Merriweather" w:hAnsi="Merriweather"/>
          <w:b w:val="1"/>
          <w:bCs w:val="1"/>
          <w:color w:val="333333"/>
          <w:sz w:val="36"/>
          <w:szCs w:val="36"/>
          <w:rtl w:val="0"/>
        </w:rPr>
        <w:t xml:space="preserve">The Eyes of the Skin: Architecture and the Senses</w:t>
      </w:r>
    </w:p>
    <w:p w:rsidR="00000000" w:rsidDel="00000000" w:rsidP="00000000" w:rsidRDefault="00000000" w:rsidRPr="00000000" w14:paraId="0000000B">
      <w:pPr>
        <w:pageBreakBefore w:val="0"/>
        <w:shd w:fill="ffffff" w:val="clear"/>
        <w:spacing w:after="120" w:lineRule="auto"/>
        <w:rPr/>
      </w:pPr>
      <w:r w:rsidDel="00000000" w:rsidR="00000000" w:rsidRPr="00000000">
        <w:rPr>
          <w:rFonts w:ascii="Merriweather" w:cs="Merriweather" w:eastAsia="Merriweather" w:hAnsi="Merriweather"/>
          <w:color w:val="333333"/>
          <w:sz w:val="24"/>
          <w:szCs w:val="24"/>
          <w:rtl w:val="0"/>
        </w:rPr>
        <w:t xml:space="preserve">by</w:t>
      </w:r>
      <w:r w:rsidDel="00000000" w:rsidR="00000000" w:rsidRPr="00000000">
        <w:rPr>
          <w:rFonts w:ascii="Lato" w:cs="Lato" w:eastAsia="Lato" w:hAnsi="Lato"/>
          <w:color w:val="181818"/>
          <w:sz w:val="18"/>
          <w:szCs w:val="18"/>
          <w:rtl w:val="0"/>
        </w:rPr>
        <w:t xml:space="preserve"> </w:t>
      </w:r>
      <w:hyperlink r:id="rId8">
        <w:r w:rsidDel="00000000" w:rsidR="00000000" w:rsidRPr="00000000">
          <w:rPr>
            <w:rFonts w:ascii="Merriweather" w:cs="Merriweather" w:eastAsia="Merriweather" w:hAnsi="Merriweather"/>
            <w:color w:val="333333"/>
            <w:sz w:val="24"/>
            <w:szCs w:val="24"/>
            <w:rtl w:val="0"/>
          </w:rPr>
          <w:t xml:space="preserve">Juhani Pallasmaa</w:t>
        </w:r>
      </w:hyperlink>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b w:val="1"/>
          <w:bCs w:val="1"/>
          <w:color w:val="111111"/>
          <w:sz w:val="42"/>
          <w:szCs w:val="42"/>
        </w:rPr>
      </w:pPr>
      <w:bookmarkStart w:colFirst="0" w:colLast="0" w:name="_wj0c4qlkcyq5" w:id="5"/>
      <w:bookmarkEnd w:id="5"/>
      <w:r w:rsidDel="00000000" w:rsidR="00000000" w:rsidRPr="00000000">
        <w:rPr>
          <w:b w:val="1"/>
          <w:bCs w:val="1"/>
          <w:color w:val="111111"/>
          <w:sz w:val="42"/>
          <w:szCs w:val="42"/>
          <w:rtl w:val="0"/>
        </w:rPr>
        <w:t xml:space="preserve">Esotericism and the Academy: Rejected Knowledge In Western Culture</w:t>
      </w:r>
    </w:p>
    <w:p w:rsidR="00000000" w:rsidDel="00000000" w:rsidP="00000000" w:rsidRDefault="00000000" w:rsidRPr="00000000" w14:paraId="0000000E">
      <w:pPr>
        <w:pageBreakBefore w:val="0"/>
        <w:rPr/>
      </w:pPr>
      <w:hyperlink r:id="rId9">
        <w:r w:rsidDel="00000000" w:rsidR="00000000" w:rsidRPr="00000000">
          <w:rPr>
            <w:color w:val="c45500"/>
            <w:sz w:val="20"/>
            <w:szCs w:val="20"/>
            <w:highlight w:val="white"/>
            <w:u w:val="single"/>
            <w:rtl w:val="0"/>
          </w:rPr>
          <w:t xml:space="preserve">Wouter J. Hanegraaff</w:t>
        </w:r>
      </w:hyperlink>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hyperlink r:id="rId10">
        <w:r w:rsidDel="00000000" w:rsidR="00000000" w:rsidRPr="00000000">
          <w:rPr>
            <w:color w:val="1155cc"/>
            <w:u w:val="single"/>
            <w:rtl w:val="0"/>
          </w:rPr>
          <w:t xml:space="preserve">https://www.amazon.com/-/es/Wouter-J-Hanegraaff/dp/1107680972/ref=pd_sim_14_10?_encoding=UTF8&amp;pd_rd_i=1107680972&amp;pd_rd_r=13c55797-4bbb-4e62-aa8e-ebba954622eb&amp;pd_rd_w=1wGe3&amp;pd_rd_wg=RQoPU&amp;pf_rd_p=37f7dfa1-8c4e-4106-9502-a190ed3a2f4f&amp;pf_rd_r=TMF8K217ZTP7A42SH06W&amp;psc=1&amp;refRID=TMF8K217ZTP7A42SH06W</w:t>
        </w:r>
      </w:hyperlink>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b w:val="1"/>
          <w:bCs w:val="1"/>
          <w:color w:val="111111"/>
          <w:sz w:val="42"/>
          <w:szCs w:val="42"/>
        </w:rPr>
      </w:pPr>
      <w:bookmarkStart w:colFirst="0" w:colLast="0" w:name="_bi4q8adyfv8x" w:id="6"/>
      <w:bookmarkEnd w:id="6"/>
      <w:r w:rsidDel="00000000" w:rsidR="00000000" w:rsidRPr="00000000">
        <w:rPr>
          <w:b w:val="1"/>
          <w:bCs w:val="1"/>
          <w:color w:val="111111"/>
          <w:sz w:val="42"/>
          <w:szCs w:val="42"/>
          <w:rtl w:val="0"/>
        </w:rPr>
        <w:t xml:space="preserve">Western Esotericism: A Concise History (SUNY series in Western Esoteric Traditions)</w:t>
      </w:r>
    </w:p>
    <w:p w:rsidR="00000000" w:rsidDel="00000000" w:rsidP="00000000" w:rsidRDefault="00000000" w:rsidRPr="00000000" w14:paraId="00000013">
      <w:pPr>
        <w:pageBreakBefore w:val="0"/>
        <w:rPr/>
      </w:pPr>
      <w:hyperlink r:id="rId11">
        <w:r w:rsidDel="00000000" w:rsidR="00000000" w:rsidRPr="00000000">
          <w:rPr>
            <w:color w:val="c45500"/>
            <w:sz w:val="20"/>
            <w:szCs w:val="20"/>
            <w:highlight w:val="white"/>
            <w:u w:val="single"/>
            <w:rtl w:val="0"/>
          </w:rPr>
          <w:t xml:space="preserve">Antoine Faivre</w:t>
        </w:r>
      </w:hyperlink>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b w:val="1"/>
          <w:bCs w:val="1"/>
          <w:color w:val="111111"/>
          <w:sz w:val="42"/>
          <w:szCs w:val="42"/>
        </w:rPr>
      </w:pPr>
      <w:bookmarkStart w:colFirst="0" w:colLast="0" w:name="_z2oapkfyhafc" w:id="7"/>
      <w:bookmarkEnd w:id="7"/>
      <w:r w:rsidDel="00000000" w:rsidR="00000000" w:rsidRPr="00000000">
        <w:rPr>
          <w:b w:val="1"/>
          <w:bCs w:val="1"/>
          <w:color w:val="111111"/>
          <w:sz w:val="42"/>
          <w:szCs w:val="42"/>
          <w:rtl w:val="0"/>
        </w:rPr>
        <w:t xml:space="preserve">Eternal Hermes: From Greek God to Alchemical Magus</w:t>
      </w:r>
    </w:p>
    <w:p w:rsidR="00000000" w:rsidDel="00000000" w:rsidP="00000000" w:rsidRDefault="00000000" w:rsidRPr="00000000" w14:paraId="00000016">
      <w:pPr>
        <w:pageBreakBefore w:val="0"/>
        <w:rPr/>
      </w:pPr>
      <w:r w:rsidDel="00000000" w:rsidR="00000000" w:rsidRPr="00000000">
        <w:rPr>
          <w:sz w:val="20"/>
          <w:szCs w:val="20"/>
          <w:highlight w:val="white"/>
          <w:rtl w:val="0"/>
        </w:rPr>
        <w:t xml:space="preserve">Antoine Faivre</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b w:val="1"/>
          <w:bCs w:val="1"/>
          <w:color w:val="111111"/>
          <w:sz w:val="42"/>
          <w:szCs w:val="42"/>
        </w:rPr>
      </w:pPr>
      <w:bookmarkStart w:colFirst="0" w:colLast="0" w:name="_qv8tww6tw6f8" w:id="8"/>
      <w:bookmarkEnd w:id="8"/>
      <w:r w:rsidDel="00000000" w:rsidR="00000000" w:rsidRPr="00000000">
        <w:rPr>
          <w:b w:val="1"/>
          <w:bCs w:val="1"/>
          <w:color w:val="111111"/>
          <w:sz w:val="42"/>
          <w:szCs w:val="42"/>
          <w:rtl w:val="0"/>
        </w:rPr>
        <w:t xml:space="preserve">Hermes Guide of Souls (Dunquin Series)</w:t>
      </w:r>
    </w:p>
    <w:p w:rsidR="00000000" w:rsidDel="00000000" w:rsidP="00000000" w:rsidRDefault="00000000" w:rsidRPr="00000000" w14:paraId="00000019">
      <w:pPr>
        <w:pageBreakBefore w:val="0"/>
        <w:rPr/>
      </w:pPr>
      <w:hyperlink r:id="rId12">
        <w:r w:rsidDel="00000000" w:rsidR="00000000" w:rsidRPr="00000000">
          <w:rPr>
            <w:color w:val="c45500"/>
            <w:sz w:val="20"/>
            <w:szCs w:val="20"/>
            <w:highlight w:val="white"/>
            <w:u w:val="single"/>
            <w:rtl w:val="0"/>
          </w:rPr>
          <w:t xml:space="preserve">Karl Kerenyi</w:t>
        </w:r>
      </w:hyperlink>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mazon.com/-/es/Antoine-Faivre/e/B001JXJFV2/ref=dp_byline_cont_book_1" TargetMode="External"/><Relationship Id="rId10" Type="http://schemas.openxmlformats.org/officeDocument/2006/relationships/hyperlink" Target="https://www.amazon.com/-/es/Wouter-J-Hanegraaff/dp/1107680972/ref=pd_sim_14_10?_encoding=UTF8&amp;pd_rd_i=1107680972&amp;pd_rd_r=13c55797-4bbb-4e62-aa8e-ebba954622eb&amp;pd_rd_w=1wGe3&amp;pd_rd_wg=RQoPU&amp;pf_rd_p=37f7dfa1-8c4e-4106-9502-a190ed3a2f4f&amp;pf_rd_r=TMF8K217ZTP7A42SH06W&amp;psc=1&amp;refRID=TMF8K217ZTP7A42SH06W" TargetMode="External"/><Relationship Id="rId12" Type="http://schemas.openxmlformats.org/officeDocument/2006/relationships/hyperlink" Target="https://www.amazon.com/-/es/Karl-Kerenyi/e/B000APX5RK/ref=dp_byline_cont_book_1" TargetMode="External"/><Relationship Id="rId9" Type="http://schemas.openxmlformats.org/officeDocument/2006/relationships/hyperlink" Target="https://www.amazon.com/-/es/Wouter-J-Hanegraaff/e/B001JOKDBM/ref=dp_byline_cont_book_1"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google.com.ar/search?tbo=p&amp;tbm=bks&amp;q=inauthor:%22Juhani+Pallasmaa%22" TargetMode="External"/><Relationship Id="rId8" Type="http://schemas.openxmlformats.org/officeDocument/2006/relationships/hyperlink" Target="https://www.goodreads.com/author/show/187435.Juhani_Pallasm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