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 iconología de Erwin Panofsky establece un nexo profundo entre las formas de representación de la imagen artística y las concepciones que un mundo histórico-cultural tiene de su tiempo. Panofsky identifica la perspectiva renacentista como expresión de una concepción racionalista del espacio que simboliza el paso hacia la modernidad. El presente artículo explica el sentido de este planteamiento y cuestiona su fundamento kantiano. Argumenta a favor de una visión de la representación del Renacimiento no como forma simbólica ilustrada, sino como conquista cultural de un humanismo más amplio, que se realiza en los principios de la acción, la autonomía y la transparencia como valores filosóficos del proyecto renacentista.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Desde sus primeros trabajos de iconología Erwin Panofsky señaló que la obra de arte no sólo cristaliza el proyecto singular del creador artístico, sino que también responde a una concepción más amplia: la del mundo histórico que allí se expresa. En La perspectiva como “forma simbólica” (Panofsky, 2003) se hace cargo del análisis de la emergencia y transformación de la perspectiva en el tiempo, estableciendo dos ideas significativas: que el cambio en el método de representación del espacio que ha establecido la perspectiva en la historia del arte occidental muestra que se trata de una transformación a gran escala, como mutación de la visión que se produce de un tiempo histórico a otro; y el señalamiento de que dicha transfiguración no sólo refiere a la representación de las cosas, sino que también atañe a las formas simbólicas, es decir, a los significados que emergen en el vínculo entre arte y sociedad. Así, Panofsky estaría planteando que el arte expresa las condiciones en que un mundo social encara su existencia histórica.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i w:val="1"/>
          <w:iCs w:val="1"/>
          <w:rtl w:val="0"/>
        </w:rPr>
        <w:t xml:space="preserve">Item</w:t>
      </w:r>
      <w:r w:rsidDel="00000000" w:rsidR="00000000" w:rsidRPr="00000000">
        <w:rPr>
          <w:rtl w:val="0"/>
        </w:rPr>
        <w:t xml:space="preserve"> </w:t>
      </w:r>
      <w:r w:rsidDel="00000000" w:rsidR="00000000" w:rsidRPr="00000000">
        <w:rPr>
          <w:i w:val="1"/>
          <w:iCs w:val="1"/>
          <w:rtl w:val="0"/>
        </w:rPr>
        <w:t xml:space="preserve">perspectiva</w:t>
      </w:r>
      <w:r w:rsidDel="00000000" w:rsidR="00000000" w:rsidRPr="00000000">
        <w:rPr>
          <w:rtl w:val="0"/>
        </w:rPr>
        <w:t xml:space="preserve"> es una palabra latina; significa mirar a través.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Si queremos garantizar la construcción de un espacio totalmente racional, es decir, infinito, constante y homogéneo, la “perspectiva central” presupone dos hipótesis fundamentales: primero, que miramos con un único ojo inmóvil y, segundo, que la intersección plana de la pirámide visual debe considerarse como una reproducción adecuada de nuestra imagen visual (Panofsky, 2003:12).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“mirada romana” exigía una visión de conjunto del mundo, que, precisamente, requería ver para poder controlar. La mirada artística materializaba así la condición imperial de un mundo bajo su dominio, necesitada de abarcar en una sola observación la amplísima extensión de su hegemonía.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Renacimiento producirá su mirada en un modelo analítico fundado sobre una concepción neutra y homogénea del espacio, que ya no buscará la rudimentaria aprehensión del todo, sino que se delimitará en una unidad sistemática y coherente. Respecto al tiempo, la perspectiva fijará no la totalidad del relato sino el momento decisivo en un punto de fuga, abandonando el panorama global y eligiendo la imagen que expresa claramente un momento y un espacio específicos. Así, ante la aspiración antigua de la totalidad espacio-tiempo, la perspectiva renacentista ofrece la unidad de la imagen. Si jugamos con la metáfora de Hauser, ante la “expectativa cinematográfica” de contar toda la historia que el arte antiguo busca, la perspectiva renacentista ofrece una “instantánea fotográfica” que alcanza una definición preclara del objeto en su espacio y tiempo singulares.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Lo simbólico se articula en matrices que subyacen a la producción concreta de contenidos en estos recintos (Cassirer, 1979)</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