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Edelstein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El sujeto en sus posiciones discursivas se construiría a sí mismo justamente en la operación de ocupar un lugar en el discurso. De ahí la importancia de los regímenes de enunciabilidad, es decir, la estructura y funcionamiento de la dimensión discursiva de los dispositivos, entre ellos, los pedagógicos.</w:t>
      </w:r>
    </w:p>
    <w:p w:rsidR="00000000" w:rsidDel="00000000" w:rsidP="00000000" w:rsidRDefault="00000000" w:rsidRPr="00000000" w14:paraId="00000005">
      <w:pPr>
        <w:rPr/>
      </w:pPr>
      <w:r w:rsidDel="00000000" w:rsidR="00000000" w:rsidRPr="00000000">
        <w:rPr>
          <w:rtl w:val="0"/>
        </w:rPr>
        <w:t xml:space="preserve">Narrare, en el sentido de presentar de nuevo, conlleva una huella en la memoria. Esta palabra, referiría al ordenamiento de las huellas al contar una historia. Desde esta visión, la narración en un sentido reflexivo -como narrar- se- estaría aludiendo al yo que recoge esa huella y la dice. De esta manera, el narrador ofrece su propia identidad y permanencia en el tiempo, aun desde discontinuidades. Es contando historias, las propias, lo que en ellas nos pasa y los sentidos que les asignamos que construimos nuestra identidad en el tiempo. Foucault ha senalado que el poder atraviesa el discurso, que sobre el discurso se ejercen múltiples operaciones de control. Ello significa pregun-</w:t>
      </w:r>
    </w:p>
    <w:p w:rsidR="00000000" w:rsidDel="00000000" w:rsidP="00000000" w:rsidRDefault="00000000" w:rsidRPr="00000000" w14:paraId="00000006">
      <w:pPr>
        <w:rPr/>
      </w:pPr>
      <w:r w:rsidDel="00000000" w:rsidR="00000000" w:rsidRPr="00000000">
        <w:rPr>
          <w:rtl w:val="0"/>
        </w:rPr>
        <w:t xml:space="preserve">confesión en La voluntad de saber y en Historia de la sexualidad, en su última etapa, cuando analiza los procedimientos de subjetivación, Cabe señalar la coincidencia de perspectiva en cuanto a nuestra visión critica sobre las planillas/guías o diferentes formas de prefiguración cuando se determinan variables o categorías a tener en cuenta en la observación de clases según planteábamos inicialmente en la "Introducción".</w:t>
      </w:r>
    </w:p>
    <w:p w:rsidR="00000000" w:rsidDel="00000000" w:rsidP="00000000" w:rsidRDefault="00000000" w:rsidRPr="00000000" w14:paraId="00000007">
      <w:pPr>
        <w:rPr/>
      </w:pPr>
      <w:r w:rsidDel="00000000" w:rsidR="00000000" w:rsidRPr="00000000">
        <w:rPr>
          <w:rtl w:val="0"/>
        </w:rPr>
        <w:t xml:space="preserve">tarse respecto de los poderes que gravitan en las narrativas personales, por su gestión social y política; por los lugares en que los sujetos son inducidos a interpretarse a sí mismos, a reconocerse corno parte .de una narración, a contarse a sí mismos de acuerdo con ciertos registros narrativos.</w:t>
      </w:r>
    </w:p>
    <w:p w:rsidR="00000000" w:rsidDel="00000000" w:rsidP="00000000" w:rsidRDefault="00000000" w:rsidRPr="00000000" w14:paraId="00000008">
      <w:pPr>
        <w:rPr/>
      </w:pPr>
      <w:r w:rsidDel="00000000" w:rsidR="00000000" w:rsidRPr="00000000">
        <w:rPr>
          <w:rtl w:val="0"/>
        </w:rPr>
        <w:t xml:space="preserve">En esta clave de lectura, la constitución de la experiencia de sí tiene lugar desde procedimientos de mediación a partir de los cuales se establecen las relaciones del sujeto consigo mismo. A ello se agrega el papel de valores y normas que hacen que el verse, el expresarse, el narrarse, se constituyan en actos jurídicos de la conciencia. Así, la idea de juicio, que denota discernimien-</w:t>
      </w:r>
    </w:p>
    <w:p w:rsidR="00000000" w:rsidDel="00000000" w:rsidP="00000000" w:rsidRDefault="00000000" w:rsidRPr="00000000" w14:paraId="00000009">
      <w:pPr>
        <w:rPr/>
      </w:pPr>
      <w:r w:rsidDel="00000000" w:rsidR="00000000" w:rsidRPr="00000000">
        <w:rPr>
          <w:rtl w:val="0"/>
        </w:rPr>
        <w:t xml:space="preserve">to, elección y decisión, se asocia a criterio y crítica. El sujeto de la reflexión incorporaría un criterio para evaluarse, criticarse y, además, una lógica jurídica del deber, la ley y la norma al juzgarse que se asocia a los criterios de juicio dominantes en una cultura.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t xml:space="preserve"> </w:t>
        <w:tab/>
        <w:tab/>
        <w:t xml:space="preserve"> </w:t>
        <w:tab/>
        <w:tab/>
        <w:t xml:space="preserve"> </w:t>
        <w:tab/>
        <w:t xml:space="preserve"> </w:t>
        <w:tab/>
        <w:t xml:space="preserve"> </w:t>
        <w:tab/>
        <w:tab/>
      </w:r>
    </w:p>
    <w:p w:rsidR="00000000" w:rsidDel="00000000" w:rsidP="00000000" w:rsidRDefault="00000000" w:rsidRPr="00000000" w14:paraId="0000000D">
      <w:pPr>
        <w:rPr/>
      </w:pPr>
      <w:r w:rsidDel="00000000" w:rsidR="00000000" w:rsidRPr="00000000">
        <w:rPr>
          <w:rtl w:val="0"/>
        </w:rPr>
        <w:tab/>
        <w:tab/>
        <w:tab/>
      </w:r>
    </w:p>
    <w:p w:rsidR="00000000" w:rsidDel="00000000" w:rsidP="00000000" w:rsidRDefault="00000000" w:rsidRPr="00000000" w14:paraId="0000000E">
      <w:pPr>
        <w:rPr/>
      </w:pPr>
      <w:r w:rsidDel="00000000" w:rsidR="00000000" w:rsidRPr="00000000">
        <w:rPr>
          <w:rtl w:val="0"/>
        </w:rPr>
        <w:tab/>
        <w:tab/>
        <w:tab/>
        <w:tab/>
      </w:r>
    </w:p>
    <w:p w:rsidR="00000000" w:rsidDel="00000000" w:rsidP="00000000" w:rsidRDefault="00000000" w:rsidRPr="00000000" w14:paraId="0000000F">
      <w:pPr>
        <w:rPr/>
      </w:pPr>
      <w:r w:rsidDel="00000000" w:rsidR="00000000" w:rsidRPr="00000000">
        <w:rPr>
          <w:rtl w:val="0"/>
        </w:rPr>
        <w:tab/>
        <w:tab/>
        <w:tab/>
        <w:tab/>
        <w:tab/>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Sigrun Gudmundsdottir</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En lenguaje cotidiano, los términos «historia» y «narrativa» son sinónimos: relatos de actos que por lo general involucran a seres humanos o animales humanizados. Una historia tiene personajes; tiene comienzo, medio y fin; y se unifica por medio de una serie de eventos organizados. El conjunto se denomina trama o argumento.</w:t>
      </w:r>
    </w:p>
    <w:p w:rsidR="00000000" w:rsidDel="00000000" w:rsidP="00000000" w:rsidRDefault="00000000" w:rsidRPr="00000000" w14:paraId="00000012">
      <w:pPr>
        <w:rPr/>
      </w:pPr>
      <w:r w:rsidDel="00000000" w:rsidR="00000000" w:rsidRPr="00000000">
        <w:rPr>
          <w:rtl w:val="0"/>
        </w:rPr>
        <w:tab/>
        <w:tab/>
        <w:tab/>
        <w:tab/>
      </w:r>
    </w:p>
    <w:p w:rsidR="00000000" w:rsidDel="00000000" w:rsidP="00000000" w:rsidRDefault="00000000" w:rsidRPr="00000000" w14:paraId="00000013">
      <w:pPr>
        <w:rPr/>
      </w:pPr>
      <w:r w:rsidDel="00000000" w:rsidR="00000000" w:rsidRPr="00000000">
        <w:rPr>
          <w:rtl w:val="0"/>
        </w:rPr>
        <w:tab/>
        <w:t xml:space="preserve"> </w:t>
        <w:tab/>
        <w:tab/>
        <w:t xml:space="preserve"> </w:t>
        <w:tab/>
        <w:tab/>
        <w:t xml:space="preserve"> </w:t>
        <w:tab/>
        <w:t xml:space="preserve"> </w:t>
        <w:tab/>
        <w:t xml:space="preserve"> </w:t>
        <w:tab/>
        <w:tab/>
      </w:r>
    </w:p>
    <w:p w:rsidR="00000000" w:rsidDel="00000000" w:rsidP="00000000" w:rsidRDefault="00000000" w:rsidRPr="00000000" w14:paraId="00000014">
      <w:pPr>
        <w:rPr/>
      </w:pPr>
      <w:r w:rsidDel="00000000" w:rsidR="00000000" w:rsidRPr="00000000">
        <w:rPr>
          <w:rtl w:val="0"/>
        </w:rPr>
        <w:tab/>
        <w:tab/>
        <w:tab/>
      </w:r>
    </w:p>
    <w:p w:rsidR="00000000" w:rsidDel="00000000" w:rsidP="00000000" w:rsidRDefault="00000000" w:rsidRPr="00000000" w14:paraId="00000015">
      <w:pPr>
        <w:rPr/>
      </w:pPr>
      <w:r w:rsidDel="00000000" w:rsidR="00000000" w:rsidRPr="00000000">
        <w:rPr>
          <w:rtl w:val="0"/>
        </w:rPr>
        <w:tab/>
        <w:tab/>
        <w:tab/>
        <w:tab/>
      </w:r>
    </w:p>
    <w:p w:rsidR="00000000" w:rsidDel="00000000" w:rsidP="00000000" w:rsidRDefault="00000000" w:rsidRPr="00000000" w14:paraId="00000016">
      <w:pPr>
        <w:rPr/>
      </w:pPr>
      <w:r w:rsidDel="00000000" w:rsidR="00000000" w:rsidRPr="00000000">
        <w:rPr>
          <w:rtl w:val="0"/>
        </w:rPr>
        <w:tab/>
        <w:tab/>
        <w:tab/>
        <w:tab/>
        <w:tab/>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Herrenstein-Smith (1981), por ejemplo, considera que la definición estructural de la narrativa es demasiado limitante. Nos aconseja utilizarla «fructíferamente» en el análisis «del lenguaje, el comportamiento y la cultura». Propone entonces otra definición, que se basa en la idea de que la narrativa es algo más que una mera característica estructural de los textos. Es más bien algo qué está intrínsecamente incorporado al accionar humano (pág. 227). De acuerdo con este punto de vista, la narrativa está constituida por una serie de actos verbales, simbólicos o conductales que se hilvanan con el propósito de «contarle a alguien que ha sucedido algo»</w:t>
      </w:r>
    </w:p>
    <w:p w:rsidR="00000000" w:rsidDel="00000000" w:rsidP="00000000" w:rsidRDefault="00000000" w:rsidRPr="00000000" w14:paraId="00000018">
      <w:pPr>
        <w:rPr/>
      </w:pPr>
      <w:r w:rsidDel="00000000" w:rsidR="00000000" w:rsidRPr="00000000">
        <w:rPr>
          <w:rtl w:val="0"/>
        </w:rPr>
        <w:tab/>
        <w:tab/>
        <w:tab/>
        <w:tab/>
      </w:r>
    </w:p>
    <w:p w:rsidR="00000000" w:rsidDel="00000000" w:rsidP="00000000" w:rsidRDefault="00000000" w:rsidRPr="00000000" w14:paraId="00000019">
      <w:pPr>
        <w:rPr/>
      </w:pPr>
      <w:r w:rsidDel="00000000" w:rsidR="00000000" w:rsidRPr="00000000">
        <w:rPr>
          <w:rtl w:val="0"/>
        </w:rPr>
        <w:tab/>
        <w:tab/>
        <w:tab/>
      </w:r>
    </w:p>
    <w:p w:rsidR="00000000" w:rsidDel="00000000" w:rsidP="00000000" w:rsidRDefault="00000000" w:rsidRPr="00000000" w14:paraId="0000001A">
      <w:pPr>
        <w:rPr/>
      </w:pPr>
      <w:r w:rsidDel="00000000" w:rsidR="00000000" w:rsidRPr="00000000">
        <w:rPr>
          <w:rtl w:val="0"/>
        </w:rPr>
        <w:tab/>
        <w:tab/>
      </w:r>
    </w:p>
    <w:p w:rsidR="00000000" w:rsidDel="00000000" w:rsidP="00000000" w:rsidRDefault="00000000" w:rsidRPr="00000000" w14:paraId="0000001B">
      <w:pPr>
        <w:rPr/>
      </w:pPr>
      <w:r w:rsidDel="00000000" w:rsidR="00000000" w:rsidRPr="00000000">
        <w:rPr>
          <w:rtl w:val="0"/>
        </w:rPr>
        <w:tab/>
        <w:t xml:space="preserve"> </w:t>
        <w:tab/>
        <w:tab/>
        <w:tab/>
      </w:r>
    </w:p>
    <w:p w:rsidR="00000000" w:rsidDel="00000000" w:rsidP="00000000" w:rsidRDefault="00000000" w:rsidRPr="00000000" w14:paraId="0000001C">
      <w:pPr>
        <w:rPr/>
      </w:pPr>
      <w:r w:rsidDel="00000000" w:rsidR="00000000" w:rsidRPr="00000000">
        <w:rPr>
          <w:rtl w:val="0"/>
        </w:rPr>
        <w:tab/>
        <w:tab/>
      </w:r>
    </w:p>
    <w:p w:rsidR="00000000" w:rsidDel="00000000" w:rsidP="00000000" w:rsidRDefault="00000000" w:rsidRPr="00000000" w14:paraId="0000001D">
      <w:pPr>
        <w:rPr/>
      </w:pPr>
      <w:r w:rsidDel="00000000" w:rsidR="00000000" w:rsidRPr="00000000">
        <w:rPr>
          <w:rtl w:val="0"/>
        </w:rPr>
        <w:tab/>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