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40" w:after="280"/>
        <w:jc w:val="center"/>
      </w:pPr>
      <w:r>
        <w:rPr>
          <w:rFonts w:ascii="Calibri" w:hAnsi="Calibri"/>
          <w:b/>
          <w:color w:val="7A5A00"/>
          <w:sz w:val="20"/>
        </w:rPr>
        <w:t>TRADE PROCESS RESEARCH</w:t>
      </w:r>
    </w:p>
    <w:p>
      <w:pPr>
        <w:spacing w:after="160"/>
        <w:jc w:val="center"/>
      </w:pPr>
      <w:r>
        <w:rPr>
          <w:rFonts w:ascii="Calibri" w:hAnsi="Calibri"/>
          <w:b/>
          <w:color w:val="203748"/>
          <w:sz w:val="60"/>
        </w:rPr>
        <w:t>Shakeout and Re-entry</w:t>
        <w:br/>
        <w:t>Trade Study</w:t>
      </w:r>
    </w:p>
    <w:p>
      <w:pPr>
        <w:spacing w:after="600"/>
        <w:jc w:val="center"/>
      </w:pPr>
      <w:r>
        <w:rPr>
          <w:rFonts w:ascii="Calibri" w:hAnsi="Calibri"/>
          <w:color w:val="1F4D78"/>
          <w:sz w:val="28"/>
        </w:rPr>
        <w:t>How to stay with valid CANSLIM positions - and how to return when normal volatility forces an exit</w:t>
      </w:r>
    </w:p>
    <w:p>
      <w:pPr>
        <w:spacing w:after="100"/>
        <w:jc w:val="center"/>
      </w:pPr>
      <w:r>
        <w:rPr>
          <w:rFonts w:ascii="Calibri" w:hAnsi="Calibri"/>
          <w:b/>
          <w:color w:val="5F6B75"/>
          <w:sz w:val="21"/>
        </w:rPr>
        <w:t>CF Statement portfolio | Trades opened June 1 through August 7, 2026</w:t>
      </w:r>
    </w:p>
    <w:p>
      <w:pPr>
        <w:spacing w:after="760"/>
        <w:jc w:val="center"/>
      </w:pPr>
      <w:r>
        <w:rPr>
          <w:rFonts w:ascii="Calibri" w:hAnsi="Calibri"/>
          <w:i/>
          <w:color w:val="5F6B75"/>
          <w:sz w:val="20"/>
        </w:rPr>
        <w:t>Daily market data through the August 10 close</w:t>
      </w:r>
    </w:p>
    <w:p>
      <w:pPr>
        <w:spacing w:before="240" w:after="0"/>
        <w:ind w:left="792" w:right="792"/>
        <w:jc w:val="center"/>
      </w:pPr>
      <w:r>
        <w:rPr>
          <w:rFonts w:ascii="Calibri" w:hAnsi="Calibri"/>
          <w:b/>
          <w:color w:val="7A5A00"/>
          <w:sz w:val="18"/>
        </w:rPr>
        <w:t>CORE RESULT</w:t>
      </w:r>
      <w:r>
        <w:rPr>
          <w:rFonts w:ascii="Calibri" w:hAnsi="Calibri"/>
          <w:b/>
          <w:color w:val="203748"/>
          <w:sz w:val="24"/>
        </w:rPr>
        <w:br/>
        <w:t>The shakeout concern is supported by the data: 17 of 28 mature CANSLIM losses or breakevens subsequently reached at least +2 ATR above the original entry.</w:t>
      </w:r>
    </w:p>
    <w:p>
      <w:r>
        <w:br w:type="page"/>
      </w:r>
    </w:p>
    <w:p>
      <w:pPr>
        <w:pStyle w:val="Heading1"/>
        <w:keepNext/>
        <w:keepLines/>
      </w:pPr>
      <w:r>
        <w:t>Executive Summary</w:t>
      </w:r>
    </w:p>
    <w:p>
      <w:r>
        <w:rPr>
          <w:rFonts w:ascii="Calibri" w:hAnsi="Calibri"/>
          <w:sz w:val="22"/>
        </w:rPr>
        <w:t>The study confirms a recurring process problem rather than a few memorable exceptions. Among 28 mature CANSLIM loss or breakeven exits, 17 later reached at least 2 ATR above the original entry, 19 later traded at least 5% above entry, and 17 later traded at least 10% above entry. The median maximum post-exit advance was 14.3% above entry and 16.5% above the exit-day close.</w:t>
      </w:r>
    </w:p>
    <w:p>
      <w:r>
        <w:rPr>
          <w:rFonts w:ascii="Calibri" w:hAnsi="Calibri"/>
          <w:sz w:val="22"/>
        </w:rPr>
        <w:t>The strongest collective solution was not simply to tolerate larger losses. It was to reduce share count and buy enough volatility room. The journal's inferred median planned stop was about 1.35 ATR. In the standardized 20-session comparison, 2.5-3.0 ATR methods materially improved survival and fixed-risk outcomes.</w:t>
      </w:r>
    </w:p>
    <w:p>
      <w:r>
        <w:rPr>
          <w:rFonts w:ascii="Calibri" w:hAnsi="Calibri"/>
          <w:sz w:val="22"/>
        </w:rPr>
        <w:t>For re-entry, the strongest tested signal was a daily close back above the original entry or pivot. It outperformed 10-day and 20-day moving-average reclaims, exit-day-high breaks, fresh five-day highs, and an undercut-and-reclaim of the exit-day low.</w:t>
      </w:r>
    </w:p>
    <w:p>
      <w:pPr>
        <w:pStyle w:val="Heading2"/>
        <w:keepNext/>
        <w:keepLines/>
      </w:pPr>
      <w:r>
        <w:t>Recommended Policy</w:t>
      </w:r>
    </w:p>
    <w:p>
      <w:pPr>
        <w:numPr>
          <w:ilvl w:val="0"/>
          <w:numId w:val="10"/>
        </w:numPr>
        <w:spacing w:after="160" w:line="280" w:lineRule="auto"/>
      </w:pPr>
      <w:r>
        <w:rPr>
          <w:rFonts w:ascii="Calibri" w:hAnsi="Calibri"/>
          <w:sz w:val="22"/>
        </w:rPr>
        <w:t>Qualified initial entries: use a 2.5 ATR closing failure threshold with a 3 ATR catastrophic hard stop; size from the 3 ATR distance.</w:t>
      </w:r>
    </w:p>
    <w:p>
      <w:pPr>
        <w:numPr>
          <w:ilvl w:val="0"/>
          <w:numId w:val="10"/>
        </w:numPr>
        <w:spacing w:after="160" w:line="280" w:lineRule="auto"/>
      </w:pPr>
      <w:r>
        <w:rPr>
          <w:rFonts w:ascii="Calibri" w:hAnsi="Calibri"/>
          <w:sz w:val="22"/>
        </w:rPr>
        <w:t>After every stop or breakeven exit: place the symbol on a 20-session Shakeout Watch list automatically.</w:t>
      </w:r>
    </w:p>
    <w:p>
      <w:pPr>
        <w:numPr>
          <w:ilvl w:val="0"/>
          <w:numId w:val="10"/>
        </w:numPr>
        <w:spacing w:after="160" w:line="280" w:lineRule="auto"/>
      </w:pPr>
      <w:r>
        <w:rPr>
          <w:rFonts w:ascii="Calibri" w:hAnsi="Calibri"/>
          <w:sz w:val="22"/>
        </w:rPr>
        <w:t>Primary re-entry: a daily close back above the original entry or pivot; begin at half risk and add only after confirmation.</w:t>
      </w:r>
    </w:p>
    <w:p>
      <w:pPr>
        <w:numPr>
          <w:ilvl w:val="0"/>
          <w:numId w:val="10"/>
        </w:numPr>
        <w:spacing w:after="160" w:line="280" w:lineRule="auto"/>
      </w:pPr>
      <w:r>
        <w:rPr>
          <w:rFonts w:ascii="Calibri" w:hAnsi="Calibri"/>
          <w:sz w:val="22"/>
        </w:rPr>
        <w:t>At +2 ATR after re-entry: realize part of the gain and trail the remainder to reduce round trips such as CRDO and ANET.</w:t>
      </w:r>
    </w:p>
    <w:p>
      <w:pPr>
        <w:pStyle w:val="Heading1"/>
        <w:keepNext/>
        <w:keepLines/>
      </w:pPr>
      <w:r>
        <w:t>Study Universe and Method</w:t>
      </w:r>
    </w:p>
    <w:p>
      <w:r>
        <w:rPr>
          <w:rFonts w:ascii="Calibri" w:hAnsi="Calibri"/>
          <w:sz w:val="22"/>
        </w:rPr>
        <w:t>The trade-log export contained 82 rows. The study selected 55 closed, exchange-traded long positions opened from June 1 onward, excluding FX and dot-index instruments. FMP daily prices aligned reliably with 51 of those trades. Four price-mismatched trades were retained in the appendix for completeness but excluded from price-sensitive stop and re-entry conclusions.</w:t>
      </w:r>
    </w:p>
    <w:p>
      <w:r>
        <w:rPr>
          <w:rFonts w:ascii="Calibri" w:hAnsi="Calibri"/>
          <w:sz w:val="22"/>
        </w:rPr>
        <w:t>The collective stop study used 28 matched CANSLIM trades with at least 20 sessions after entry, including wins, losses, and breakevens. The re-entry study used 28 mature matched CANSLIM losses or breakevens with at least 10 post-exit sessions. Repeated trades in one symbol are treated as separate trading decisions.</w:t>
      </w:r>
    </w:p>
    <w:p>
      <w:r>
        <w:rPr>
          <w:rFonts w:ascii="Calibri" w:hAnsi="Calibri"/>
          <w:sz w:val="22"/>
        </w:rPr>
        <w:t>A stop or re-entry was evaluated using only information available on or before the trigger date. Daily bars cannot reveal the intraday order when a stop and target were both touched; ambiguous days were scored conservatively as stop-first.</w:t>
      </w:r>
    </w:p>
    <w:p>
      <w:pPr>
        <w:pStyle w:val="Heading1"/>
        <w:keepNext/>
        <w:keepLines/>
      </w:pPr>
      <w:r>
        <w:t>Collective Findings: Staying in the Trades</w:t>
      </w:r>
    </w:p>
    <w:p>
      <w:r>
        <w:rPr>
          <w:rFonts w:ascii="Calibri" w:hAnsi="Calibri"/>
          <w:sz w:val="22"/>
        </w:rPr>
        <w:t>The main issue was stop distance relative to volatility. The inferred median planned stop among mature CANSLIM losses or breakevens was 1.35 ATR. That range frequently sat inside normal price noise for the names being traded.</w:t>
      </w:r>
    </w:p>
    <w:p>
      <w:pPr>
        <w:keepNext/>
        <w:spacing w:before="80" w:after="80"/>
      </w:pPr>
      <w:r>
        <w:rPr>
          <w:rFonts w:ascii="Calibri" w:hAnsi="Calibri"/>
          <w:b/>
          <w:color w:val="5F6B75"/>
          <w:sz w:val="18"/>
        </w:rPr>
        <w:t>Table 1. Stop-rule comparison across 28 mature CANSLIM trades</w:t>
      </w:r>
    </w:p>
    <w:tbl>
      <w:tblPr>
        <w:tblStyle w:val="TableGrid"/>
        <w:tblW w:type="dxa" w:w="9360"/>
        <w:jc w:val="left"/>
        <w:tblLayout w:type="fixed"/>
        <w:tblLook w:firstColumn="1" w:firstRow="1" w:lastColumn="0" w:lastRow="0" w:noHBand="0" w:noVBand="1" w:val="04A0"/>
        <w:tblInd w:type="dxa" w:w="120"/>
      </w:tblPr>
      <w:tblGrid>
        <w:gridCol w:w="2600"/>
        <w:gridCol w:w="1800"/>
        <w:gridCol w:w="1650"/>
        <w:gridCol w:w="1650"/>
        <w:gridCol w:w="1660"/>
      </w:tblGrid>
      <w:tr>
        <w:trPr>
          <w:tblHeader w:val="true"/>
        </w:trPr>
        <w:tc>
          <w:tcPr>
            <w:tcW w:type="dxa" w:w="2600"/>
            <w:vAlign w:val="center"/>
            <w:shd w:fill="F2F4F7"/>
            <w:tcMar>
              <w:top w:w="90" w:type="dxa"/>
              <w:bottom w:w="90" w:type="dxa"/>
              <w:start w:w="120" w:type="dxa"/>
              <w:end w:w="120" w:type="dxa"/>
            </w:tcMar>
          </w:tcPr>
          <w:p>
            <w:pPr>
              <w:spacing w:before="0" w:after="0" w:line="252" w:lineRule="auto"/>
              <w:jc w:val="left"/>
            </w:pPr>
            <w:r/>
            <w:r>
              <w:rPr>
                <w:rFonts w:ascii="Calibri" w:hAnsi="Calibri"/>
                <w:b/>
                <w:color w:val="203748"/>
                <w:sz w:val="17"/>
              </w:rPr>
              <w:t>Stop method</w:t>
            </w:r>
          </w:p>
        </w:tc>
        <w:tc>
          <w:tcPr>
            <w:tcW w:type="dxa" w:w="18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+2 ATR reached first</w:t>
            </w:r>
          </w:p>
        </w:tc>
        <w:tc>
          <w:tcPr>
            <w:tcW w:type="dxa" w:w="165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Mean 20d</w:t>
            </w:r>
          </w:p>
        </w:tc>
        <w:tc>
          <w:tcPr>
            <w:tcW w:type="dxa" w:w="165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Median 20d</w:t>
            </w:r>
          </w:p>
        </w:tc>
        <w:tc>
          <w:tcPr>
            <w:tcW w:type="dxa" w:w="166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Win rate</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1.0 ATR hard</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32%</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-0.34R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-1.00R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25%</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1.5 ATR hard</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44%</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-0.13R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-1.00R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39%</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2.0 ATR hard</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59%</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+0.11R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+0.02R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54%</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2.5 ATR hard</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69%</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+0.15R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+0.23R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61%</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3.0 ATR hard</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78% resolved</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+0.16R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+0.26R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64%</w:t>
            </w:r>
          </w:p>
        </w:tc>
      </w:tr>
      <w:tr>
        <w:trPr>
          <w:cantSplit/>
        </w:trPr>
        <w:tc>
          <w:tcPr>
            <w:tcW w:type="dxa" w:w="2600"/>
            <w:vAlign w:val="center"/>
            <w:tcMar>
              <w:top w:w="90" w:type="dxa"/>
              <w:bottom w:w="90" w:type="dxa"/>
              <w:start w:w="120" w:type="dxa"/>
              <w:end w:w="120" w:type="dxa"/>
            </w:tcMar>
          </w:tcPr>
          <w:p>
            <w:pPr>
              <w:spacing w:before="0" w:after="0" w:line="252" w:lineRule="auto"/>
              <w:jc w:val="left"/>
            </w:pPr>
            <w:r/>
            <w:r>
              <w:rPr>
                <w:rFonts w:ascii="Calibri" w:hAnsi="Calibri"/>
                <w:b w:val="0"/>
                <w:sz w:val="17"/>
              </w:rPr>
              <w:t>2.5 ATR close</w:t>
            </w:r>
          </w:p>
        </w:tc>
        <w:tc>
          <w:tcPr>
            <w:tcW w:type="dxa" w:w="1800"/>
            <w:vAlign w:val="center"/>
            <w:tcMar>
              <w:top w:w="90" w:type="dxa"/>
              <w:bottom w:w="90" w:type="dxa"/>
              <w:start w:w="120" w:type="dxa"/>
              <w:end w:w="120" w:type="dxa"/>
            </w:tcMar>
          </w:tcPr>
          <w:p>
            <w:pPr>
              <w:spacing w:before="0" w:after="0" w:line="252" w:lineRule="auto"/>
              <w:jc w:val="center"/>
            </w:pPr>
            <w:r/>
            <w:r>
              <w:rPr>
                <w:rFonts w:ascii="Calibri" w:hAnsi="Calibri"/>
                <w:b w:val="0"/>
                <w:sz w:val="17"/>
              </w:rPr>
              <w:t>75% resolved</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+0.22R</w:t>
            </w:r>
          </w:p>
        </w:tc>
        <w:tc>
          <w:tcPr>
            <w:tcW w:type="dxa" w:w="1650"/>
            <w:vAlign w:val="center"/>
            <w:tcMar>
              <w:top w:w="90" w:type="dxa"/>
              <w:bottom w:w="90" w:type="dxa"/>
              <w:start w:w="120" w:type="dxa"/>
              <w:end w:w="120" w:type="dxa"/>
            </w:tcMar>
          </w:tcPr>
          <w:p>
            <w:pPr>
              <w:spacing w:before="0" w:after="0" w:line="252" w:lineRule="auto"/>
              <w:jc w:val="center"/>
            </w:pPr>
            <w:r/>
            <w:r>
              <w:rPr>
                <w:rFonts w:ascii="Calibri" w:hAnsi="Calibri"/>
                <w:b w:val="0"/>
                <w:sz w:val="17"/>
              </w:rPr>
              <w:t>+0.31R</w:t>
            </w:r>
          </w:p>
        </w:tc>
        <w:tc>
          <w:tcPr>
            <w:tcW w:type="dxa" w:w="1660"/>
            <w:vAlign w:val="center"/>
            <w:tcMar>
              <w:top w:w="90" w:type="dxa"/>
              <w:bottom w:w="90" w:type="dxa"/>
              <w:start w:w="120" w:type="dxa"/>
              <w:end w:w="120" w:type="dxa"/>
            </w:tcMar>
          </w:tcPr>
          <w:p>
            <w:pPr>
              <w:spacing w:before="0" w:after="0" w:line="252" w:lineRule="auto"/>
              <w:jc w:val="center"/>
            </w:pPr>
            <w:r/>
            <w:r>
              <w:rPr>
                <w:rFonts w:ascii="Calibri" w:hAnsi="Calibri"/>
                <w:b w:val="0"/>
                <w:sz w:val="17"/>
              </w:rPr>
              <w:t>64%</w:t>
            </w:r>
          </w:p>
        </w:tc>
      </w:tr>
    </w:tbl>
    <w:p>
      <w:r>
        <w:rPr>
          <w:rFonts w:ascii="Calibri" w:hAnsi="Calibri"/>
          <w:sz w:val="22"/>
        </w:rPr>
        <w:t>The 2.5 ATR close-confirmed method had the best average and median result, but its worst outcome was -1.12R because a daily close can occur beyond the intended threshold. The operational solution is a 2.5 ATR closing threshold paired with a 3 ATR catastrophic hard stop, with share count sized from the 3 ATR distance.</w:t>
      </w:r>
    </w:p>
    <w:p>
      <w:r>
        <w:rPr>
          <w:rFonts w:ascii="Calibri" w:hAnsi="Calibri"/>
          <w:sz w:val="22"/>
        </w:rPr>
        <w:t>A two-close failure below the 20-day moving average reached +2 ATR first in only 46% of cases. A five-day structural-low stop with a 0.25 ATR buffer improved that to 61%, but still lagged the 2.5-3.0 ATR methods. Moving averages are better used as confirmation and trailing references than as the only initial stop.</w:t>
      </w:r>
    </w:p>
    <w:p>
      <w:pPr>
        <w:pStyle w:val="Heading2"/>
        <w:keepNext/>
        <w:keepLines/>
      </w:pPr>
      <w:r>
        <w:t>What Would Have Worked for the Majority: Staying In</w:t>
      </w:r>
    </w:p>
    <w:p>
      <w:pPr>
        <w:numPr>
          <w:ilvl w:val="0"/>
          <w:numId w:val="11"/>
        </w:numPr>
        <w:spacing w:after="160" w:line="280" w:lineRule="auto"/>
      </w:pPr>
      <w:r>
        <w:rPr>
          <w:rFonts w:ascii="Calibri" w:hAnsi="Calibri"/>
          <w:sz w:val="22"/>
        </w:rPr>
        <w:t>Size from a 3 ATR catastrophic stop. At the sample's median prior distance of 1.35 ATR, this means approximately 45% of the old share count for the same maximum dollar risk.</w:t>
      </w:r>
    </w:p>
    <w:p>
      <w:pPr>
        <w:numPr>
          <w:ilvl w:val="0"/>
          <w:numId w:val="11"/>
        </w:numPr>
        <w:spacing w:after="160" w:line="280" w:lineRule="auto"/>
      </w:pPr>
      <w:r>
        <w:rPr>
          <w:rFonts w:ascii="Calibri" w:hAnsi="Calibri"/>
          <w:sz w:val="22"/>
        </w:rPr>
        <w:t>Treat a close 2.5 ATR below entry as the normal failure threshold. Do not use the wider threshold for weak, late, or poorly graded entries.</w:t>
      </w:r>
    </w:p>
    <w:p>
      <w:pPr>
        <w:numPr>
          <w:ilvl w:val="0"/>
          <w:numId w:val="11"/>
        </w:numPr>
        <w:spacing w:after="160" w:line="280" w:lineRule="auto"/>
      </w:pPr>
      <w:r>
        <w:rPr>
          <w:rFonts w:ascii="Calibri" w:hAnsi="Calibri"/>
          <w:sz w:val="22"/>
        </w:rPr>
        <w:t>Add only after confirmation and only after recalculating total open risk. Core plus add-on risk should remain within the original 1R budget.</w:t>
      </w:r>
    </w:p>
    <w:p>
      <w:pPr>
        <w:numPr>
          <w:ilvl w:val="0"/>
          <w:numId w:val="11"/>
        </w:numPr>
        <w:spacing w:after="160" w:line="280" w:lineRule="auto"/>
      </w:pPr>
      <w:r>
        <w:rPr>
          <w:rFonts w:ascii="Calibri" w:hAnsi="Calibri"/>
          <w:sz w:val="22"/>
        </w:rPr>
        <w:t>Use the 20-day line and structural lows as confirming evidence, not as a replacement for volatility-adjusted risk.</w:t>
      </w:r>
    </w:p>
    <w:p>
      <w:pPr>
        <w:numPr>
          <w:ilvl w:val="0"/>
          <w:numId w:val="11"/>
        </w:numPr>
        <w:spacing w:after="160" w:line="280" w:lineRule="auto"/>
      </w:pPr>
      <w:r>
        <w:rPr>
          <w:rFonts w:ascii="Calibri" w:hAnsi="Calibri"/>
          <w:sz w:val="22"/>
        </w:rPr>
        <w:t>Take a partial gain around +2 ATR and trail the balance. Several names worked materially and then faded, so staying in must be paired with gain retention.</w:t>
      </w:r>
    </w:p>
    <w:p>
      <w:pPr>
        <w:pStyle w:val="Heading1"/>
        <w:keepNext/>
        <w:keepLines/>
      </w:pPr>
      <w:r>
        <w:t>Collective Findings: Getting Back In</w:t>
      </w:r>
    </w:p>
    <w:p>
      <w:r>
        <w:rPr>
          <w:rFonts w:ascii="Calibri" w:hAnsi="Calibri"/>
          <w:sz w:val="22"/>
        </w:rPr>
        <w:t>The original entry or pivot was the most useful re-entry reference. It represents the price that first justified the trade and produced fewer, cleaner signals than generic short-term technical triggers.</w:t>
      </w:r>
    </w:p>
    <w:p>
      <w:pPr>
        <w:keepNext/>
        <w:spacing w:before="80" w:after="80"/>
      </w:pPr>
      <w:r>
        <w:rPr>
          <w:rFonts w:ascii="Calibri" w:hAnsi="Calibri"/>
          <w:b/>
          <w:color w:val="5F6B75"/>
          <w:sz w:val="18"/>
        </w:rPr>
        <w:t>Table 2. Re-entry trigger comparison for mature CANSLIM losses and breakevens</w:t>
      </w:r>
    </w:p>
    <w:tbl>
      <w:tblPr>
        <w:tblStyle w:val="TableGrid"/>
        <w:tblW w:type="dxa" w:w="9360"/>
        <w:jc w:val="left"/>
        <w:tblLayout w:type="fixed"/>
        <w:tblLook w:firstColumn="1" w:firstRow="1" w:lastColumn="0" w:lastRow="0" w:noHBand="0" w:noVBand="1" w:val="04A0"/>
        <w:tblInd w:type="dxa" w:w="120"/>
      </w:tblPr>
      <w:tblGrid>
        <w:gridCol w:w="2800"/>
        <w:gridCol w:w="900"/>
        <w:gridCol w:w="1350"/>
        <w:gridCol w:w="1200"/>
        <w:gridCol w:w="1555"/>
        <w:gridCol w:w="1555"/>
      </w:tblGrid>
      <w:tr>
        <w:trPr>
          <w:tblHeader w:val="true"/>
        </w:trPr>
        <w:tc>
          <w:tcPr>
            <w:tcW w:type="dxa" w:w="2800"/>
            <w:vAlign w:val="center"/>
            <w:shd w:fill="F2F4F7"/>
            <w:tcMar>
              <w:top w:w="90" w:type="dxa"/>
              <w:bottom w:w="90" w:type="dxa"/>
              <w:start w:w="120" w:type="dxa"/>
              <w:end w:w="120" w:type="dxa"/>
            </w:tcMar>
          </w:tcPr>
          <w:p>
            <w:pPr>
              <w:spacing w:before="0" w:after="0" w:line="252" w:lineRule="auto"/>
              <w:jc w:val="left"/>
            </w:pPr>
            <w:r/>
            <w:r>
              <w:rPr>
                <w:rFonts w:ascii="Calibri" w:hAnsi="Calibri"/>
                <w:b/>
                <w:color w:val="203748"/>
                <w:sz w:val="17"/>
              </w:rPr>
              <w:t>Trigger</w:t>
            </w:r>
          </w:p>
        </w:tc>
        <w:tc>
          <w:tcPr>
            <w:tcW w:type="dxa" w:w="9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Signals</w:t>
            </w:r>
          </w:p>
        </w:tc>
        <w:tc>
          <w:tcPr>
            <w:tcW w:type="dxa" w:w="135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Resolved W-L</w:t>
            </w:r>
          </w:p>
        </w:tc>
        <w:tc>
          <w:tcPr>
            <w:tcW w:type="dxa" w:w="12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Success</w:t>
            </w:r>
          </w:p>
        </w:tc>
        <w:tc>
          <w:tcPr>
            <w:tcW w:type="dxa" w:w="1555"/>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Median max</w:t>
            </w:r>
          </w:p>
        </w:tc>
        <w:tc>
          <w:tcPr>
            <w:tcW w:type="dxa" w:w="1555"/>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Median DD</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Original-entry reclaim</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17</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8-5</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62%</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+11.2%</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-1.8%</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Entry reclaim + strength</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13</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5-4</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56%</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+10.1%</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-3.9%</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20-day MA reclaim</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20</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6-8</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43%</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+9.7%</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-5.1%</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Exit-day-high break</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22</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7-9</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44%</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+10.4%</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-6.0%</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Undercut/reclaim exit low</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19</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6-10</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38%</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+8.8%</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-7.3%</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10-day MA + strength</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25</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8-14</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36%</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+10.3%</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-9.1%</w:t>
            </w:r>
          </w:p>
        </w:tc>
      </w:tr>
      <w:tr>
        <w:trPr>
          <w:cantSplit/>
        </w:trPr>
        <w:tc>
          <w:tcPr>
            <w:tcW w:type="dxa" w:w="2800"/>
            <w:vAlign w:val="center"/>
            <w:tcMar>
              <w:top w:w="90" w:type="dxa"/>
              <w:bottom w:w="90" w:type="dxa"/>
              <w:start w:w="120" w:type="dxa"/>
              <w:end w:w="120" w:type="dxa"/>
            </w:tcMar>
          </w:tcPr>
          <w:p>
            <w:pPr>
              <w:spacing w:before="0" w:after="0" w:line="252" w:lineRule="auto"/>
              <w:jc w:val="left"/>
            </w:pPr>
            <w:r/>
            <w:r>
              <w:rPr>
                <w:rFonts w:ascii="Calibri" w:hAnsi="Calibri"/>
                <w:b w:val="0"/>
                <w:sz w:val="17"/>
              </w:rPr>
              <w:t>Fresh five-day high</w:t>
            </w:r>
          </w:p>
        </w:tc>
        <w:tc>
          <w:tcPr>
            <w:tcW w:type="dxa" w:w="900"/>
            <w:vAlign w:val="center"/>
            <w:tcMar>
              <w:top w:w="90" w:type="dxa"/>
              <w:bottom w:w="90" w:type="dxa"/>
              <w:start w:w="120" w:type="dxa"/>
              <w:end w:w="120" w:type="dxa"/>
            </w:tcMar>
          </w:tcPr>
          <w:p>
            <w:pPr>
              <w:spacing w:before="0" w:after="0" w:line="252" w:lineRule="auto"/>
              <w:jc w:val="center"/>
            </w:pPr>
            <w:r/>
            <w:r>
              <w:rPr>
                <w:rFonts w:ascii="Calibri" w:hAnsi="Calibri"/>
                <w:b w:val="0"/>
                <w:sz w:val="17"/>
              </w:rPr>
              <w:t>22</w:t>
            </w:r>
          </w:p>
        </w:tc>
        <w:tc>
          <w:tcPr>
            <w:tcW w:type="dxa" w:w="1350"/>
            <w:vAlign w:val="center"/>
            <w:tcMar>
              <w:top w:w="90" w:type="dxa"/>
              <w:bottom w:w="90" w:type="dxa"/>
              <w:start w:w="120" w:type="dxa"/>
              <w:end w:w="120" w:type="dxa"/>
            </w:tcMar>
          </w:tcPr>
          <w:p>
            <w:pPr>
              <w:spacing w:before="0" w:after="0" w:line="252" w:lineRule="auto"/>
              <w:jc w:val="center"/>
            </w:pPr>
            <w:r/>
            <w:r>
              <w:rPr>
                <w:rFonts w:ascii="Calibri" w:hAnsi="Calibri"/>
                <w:b w:val="0"/>
                <w:sz w:val="17"/>
              </w:rPr>
              <w:t>5-9</w:t>
            </w:r>
          </w:p>
        </w:tc>
        <w:tc>
          <w:tcPr>
            <w:tcW w:type="dxa" w:w="1200"/>
            <w:vAlign w:val="center"/>
            <w:tcMar>
              <w:top w:w="90" w:type="dxa"/>
              <w:bottom w:w="90" w:type="dxa"/>
              <w:start w:w="120" w:type="dxa"/>
              <w:end w:w="120" w:type="dxa"/>
            </w:tcMar>
          </w:tcPr>
          <w:p>
            <w:pPr>
              <w:spacing w:before="0" w:after="0" w:line="252" w:lineRule="auto"/>
              <w:jc w:val="center"/>
            </w:pPr>
            <w:r/>
            <w:r>
              <w:rPr>
                <w:rFonts w:ascii="Calibri" w:hAnsi="Calibri"/>
                <w:b w:val="0"/>
                <w:sz w:val="17"/>
              </w:rPr>
              <w:t>36%</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+12.2%</w:t>
            </w:r>
          </w:p>
        </w:tc>
        <w:tc>
          <w:tcPr>
            <w:tcW w:type="dxa" w:w="1555"/>
            <w:vAlign w:val="center"/>
            <w:tcMar>
              <w:top w:w="90" w:type="dxa"/>
              <w:bottom w:w="90" w:type="dxa"/>
              <w:start w:w="120" w:type="dxa"/>
              <w:end w:w="120" w:type="dxa"/>
            </w:tcMar>
          </w:tcPr>
          <w:p>
            <w:pPr>
              <w:spacing w:before="0" w:after="0" w:line="252" w:lineRule="auto"/>
              <w:jc w:val="center"/>
            </w:pPr>
            <w:r/>
            <w:r>
              <w:rPr>
                <w:rFonts w:ascii="Calibri" w:hAnsi="Calibri"/>
                <w:b w:val="0"/>
                <w:sz w:val="17"/>
              </w:rPr>
              <w:t>-6.6%</w:t>
            </w:r>
          </w:p>
        </w:tc>
      </w:tr>
    </w:tbl>
    <w:p>
      <w:r>
        <w:rPr>
          <w:rFonts w:ascii="Calibri" w:hAnsi="Calibri"/>
          <w:sz w:val="22"/>
        </w:rPr>
        <w:t>A signal was successful if it reached +2 ATR before falling 1 ATR from the re-entry price. Unresolved signals are excluded from the success-rate denominator. The simple original-entry reclaim produced both the highest success rate and the shallowest median drawdown.</w:t>
      </w:r>
    </w:p>
    <w:p>
      <w:pPr>
        <w:pStyle w:val="Heading2"/>
        <w:keepNext/>
        <w:keepLines/>
      </w:pPr>
      <w:r>
        <w:t>What Would Have Worked for the Majority: Getting Back In</w:t>
      </w:r>
    </w:p>
    <w:p>
      <w:pPr>
        <w:numPr>
          <w:ilvl w:val="0"/>
          <w:numId w:val="12"/>
        </w:numPr>
        <w:spacing w:after="160" w:line="280" w:lineRule="auto"/>
      </w:pPr>
      <w:r>
        <w:rPr>
          <w:rFonts w:ascii="Calibri" w:hAnsi="Calibri"/>
          <w:sz w:val="22"/>
        </w:rPr>
        <w:t>After any stop or breakeven exit, place the symbol on a 20-session Shakeout Watch list. Record the original entry, exit-day high and low, ATR, 10-day line, and 20-day line.</w:t>
      </w:r>
    </w:p>
    <w:p>
      <w:pPr>
        <w:numPr>
          <w:ilvl w:val="0"/>
          <w:numId w:val="12"/>
        </w:numPr>
        <w:spacing w:after="160" w:line="280" w:lineRule="auto"/>
      </w:pPr>
      <w:r>
        <w:rPr>
          <w:rFonts w:ascii="Calibri" w:hAnsi="Calibri"/>
          <w:sz w:val="22"/>
        </w:rPr>
        <w:t>Primary trigger: a daily close back above the original entry or pivot after trading below it. Take a half-risk starter on the next session if price is not materially extended.</w:t>
      </w:r>
    </w:p>
    <w:p>
      <w:pPr>
        <w:numPr>
          <w:ilvl w:val="0"/>
          <w:numId w:val="12"/>
        </w:numPr>
        <w:spacing w:after="160" w:line="280" w:lineRule="auto"/>
      </w:pPr>
      <w:r>
        <w:rPr>
          <w:rFonts w:ascii="Calibri" w:hAnsi="Calibri"/>
          <w:sz w:val="22"/>
        </w:rPr>
        <w:t>Secondary trigger when price never loses the pivot: a close above the exit-day high or a fresh five-day high while above the 20-day line. This is particularly relevant to breakeven exits such as TWLO and the July 1 SNOW trade.</w:t>
      </w:r>
    </w:p>
    <w:p>
      <w:pPr>
        <w:numPr>
          <w:ilvl w:val="0"/>
          <w:numId w:val="12"/>
        </w:numPr>
        <w:spacing w:after="160" w:line="280" w:lineRule="auto"/>
      </w:pPr>
      <w:r>
        <w:rPr>
          <w:rFonts w:ascii="Calibri" w:hAnsi="Calibri"/>
          <w:sz w:val="22"/>
        </w:rPr>
        <w:t>Use the reclaim-day low or approximately 1 ATR below the trigger as the re-entry failure point, then size the starter to no more than 0.5R.</w:t>
      </w:r>
    </w:p>
    <w:p>
      <w:pPr>
        <w:numPr>
          <w:ilvl w:val="0"/>
          <w:numId w:val="12"/>
        </w:numPr>
        <w:spacing w:after="160" w:line="280" w:lineRule="auto"/>
      </w:pPr>
      <w:r>
        <w:rPr>
          <w:rFonts w:ascii="Calibri" w:hAnsi="Calibri"/>
          <w:sz w:val="22"/>
        </w:rPr>
        <w:t>Add the remaining risk only after a second close above the pivot or a +1 ATR advance. Allow no more than two attempts without a completely new base.</w:t>
      </w:r>
    </w:p>
    <w:p>
      <w:pPr>
        <w:numPr>
          <w:ilvl w:val="0"/>
          <w:numId w:val="12"/>
        </w:numPr>
        <w:spacing w:after="160" w:line="280" w:lineRule="auto"/>
      </w:pPr>
      <w:r>
        <w:rPr>
          <w:rFonts w:ascii="Calibri" w:hAnsi="Calibri"/>
          <w:sz w:val="22"/>
        </w:rPr>
        <w:t>At +2 ATR, take partial profits and trail the remainder. This prevents a correct re-entry from becoming a CRDO- or ANET-style round trip.</w:t>
      </w:r>
    </w:p>
    <w:p>
      <w:pPr>
        <w:pStyle w:val="Heading1"/>
        <w:keepNext/>
        <w:keepLines/>
      </w:pPr>
      <w:r>
        <w:t>Highest-Impact Shakeout Examples</w:t>
      </w:r>
    </w:p>
    <w:p>
      <w:pPr>
        <w:keepNext/>
        <w:spacing w:before="80" w:after="80"/>
      </w:pPr>
      <w:r>
        <w:rPr>
          <w:rFonts w:ascii="Calibri" w:hAnsi="Calibri"/>
          <w:b/>
          <w:color w:val="5F6B75"/>
          <w:sz w:val="18"/>
        </w:rPr>
        <w:t>Table 3. Stopped or breakeven trades at least 10% above entry as of August 10</w:t>
      </w:r>
    </w:p>
    <w:tbl>
      <w:tblPr>
        <w:tblStyle w:val="TableGrid"/>
        <w:tblW w:type="dxa" w:w="9360"/>
        <w:jc w:val="left"/>
        <w:tblLayout w:type="fixed"/>
        <w:tblLook w:firstColumn="1" w:firstRow="1" w:lastColumn="0" w:lastRow="0" w:noHBand="0" w:noVBand="1" w:val="04A0"/>
        <w:tblInd w:type="dxa" w:w="120"/>
      </w:tblPr>
      <w:tblGrid>
        <w:gridCol w:w="1150"/>
        <w:gridCol w:w="1100"/>
        <w:gridCol w:w="2200"/>
        <w:gridCol w:w="1850"/>
        <w:gridCol w:w="1500"/>
        <w:gridCol w:w="1560"/>
      </w:tblGrid>
      <w:tr>
        <w:trPr>
          <w:tblHeader w:val="true"/>
        </w:trPr>
        <w:tc>
          <w:tcPr>
            <w:tcW w:type="dxa" w:w="1150"/>
            <w:vAlign w:val="center"/>
            <w:shd w:fill="F2F4F7"/>
            <w:tcMar>
              <w:top w:w="90" w:type="dxa"/>
              <w:bottom w:w="90" w:type="dxa"/>
              <w:start w:w="120" w:type="dxa"/>
              <w:end w:w="120" w:type="dxa"/>
            </w:tcMar>
          </w:tcPr>
          <w:p>
            <w:pPr>
              <w:spacing w:before="0" w:after="0" w:line="252" w:lineRule="auto"/>
              <w:jc w:val="left"/>
            </w:pPr>
            <w:r/>
            <w:r>
              <w:rPr>
                <w:rFonts w:ascii="Calibri" w:hAnsi="Calibri"/>
                <w:b/>
                <w:color w:val="203748"/>
                <w:sz w:val="17"/>
              </w:rPr>
              <w:t>Symbol</w:t>
            </w:r>
          </w:p>
        </w:tc>
        <w:tc>
          <w:tcPr>
            <w:tcW w:type="dxa" w:w="11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Entry</w:t>
            </w:r>
          </w:p>
        </w:tc>
        <w:tc>
          <w:tcPr>
            <w:tcW w:type="dxa" w:w="22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Exit</w:t>
            </w:r>
          </w:p>
        </w:tc>
        <w:tc>
          <w:tcPr>
            <w:tcW w:type="dxa" w:w="185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Entry reclaim</w:t>
            </w:r>
          </w:p>
        </w:tc>
        <w:tc>
          <w:tcPr>
            <w:tcW w:type="dxa" w:w="150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Aug 10</w:t>
            </w:r>
          </w:p>
        </w:tc>
        <w:tc>
          <w:tcPr>
            <w:tcW w:type="dxa" w:w="1560"/>
            <w:vAlign w:val="center"/>
            <w:shd w:fill="F2F4F7"/>
            <w:tcMar>
              <w:top w:w="90" w:type="dxa"/>
              <w:bottom w:w="90" w:type="dxa"/>
              <w:start w:w="120" w:type="dxa"/>
              <w:end w:w="120" w:type="dxa"/>
            </w:tcMar>
          </w:tcPr>
          <w:p>
            <w:pPr>
              <w:spacing w:before="0" w:after="0" w:line="252" w:lineRule="auto"/>
              <w:jc w:val="center"/>
            </w:pPr>
            <w:r/>
            <w:r>
              <w:rPr>
                <w:rFonts w:ascii="Calibri" w:hAnsi="Calibri"/>
                <w:b/>
                <w:color w:val="203748"/>
                <w:sz w:val="17"/>
              </w:rPr>
              <w:t>Vs. entry</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SNOW</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Jun 18</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Jun 24 @ $229.43</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Jun 26</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$334.70</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+43.8%</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TWLO</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Jun 18</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Jun 24 @ $187.50</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Jun 29-30 secondary</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$250.06</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+33.5%</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SNOW</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 @ $260.04</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9 secondary</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$334.70</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+28.8%</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NTAP</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2</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8 @ $160.94</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17</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$198.72</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+23.0%</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NTAP</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13</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14 @ $166.47</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22</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$198.72</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+19.5%</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NTAP</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9</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10 @ $169.46</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14</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$198.72</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+17.8%</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W</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9</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10 @ $89.37</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15</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$103.26</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+16.0%</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DXCM</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10</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17 @ $74.85</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Jul 31</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$87.65</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+15.9%</w:t>
            </w:r>
          </w:p>
        </w:tc>
      </w:tr>
      <w:tr>
        <w:trPr>
          <w:cantSplit/>
        </w:trPr>
        <w:tc>
          <w:tcPr>
            <w:tcW w:type="dxa" w:w="1150"/>
            <w:vAlign w:val="center"/>
            <w:tcMar>
              <w:top w:w="90" w:type="dxa"/>
              <w:bottom w:w="90" w:type="dxa"/>
              <w:start w:w="120" w:type="dxa"/>
              <w:end w:w="120" w:type="dxa"/>
            </w:tcMar>
          </w:tcPr>
          <w:p>
            <w:pPr>
              <w:spacing w:before="0" w:after="0" w:line="252" w:lineRule="auto"/>
              <w:jc w:val="left"/>
            </w:pPr>
            <w:r/>
            <w:r>
              <w:rPr>
                <w:rFonts w:ascii="Calibri" w:hAnsi="Calibri"/>
                <w:b w:val="0"/>
                <w:sz w:val="17"/>
              </w:rPr>
              <w:t>S</w:t>
            </w:r>
          </w:p>
        </w:tc>
        <w:tc>
          <w:tcPr>
            <w:tcW w:type="dxa" w:w="11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16</w:t>
            </w:r>
          </w:p>
        </w:tc>
        <w:tc>
          <w:tcPr>
            <w:tcW w:type="dxa" w:w="2200"/>
            <w:vAlign w:val="center"/>
            <w:tcMar>
              <w:top w:w="90" w:type="dxa"/>
              <w:bottom w:w="90" w:type="dxa"/>
              <w:start w:w="120" w:type="dxa"/>
              <w:end w:w="120" w:type="dxa"/>
            </w:tcMar>
          </w:tcPr>
          <w:p>
            <w:pPr>
              <w:spacing w:before="0" w:after="0" w:line="252" w:lineRule="auto"/>
              <w:jc w:val="center"/>
            </w:pPr>
            <w:r/>
            <w:r>
              <w:rPr>
                <w:rFonts w:ascii="Calibri" w:hAnsi="Calibri"/>
                <w:b w:val="0"/>
                <w:sz w:val="17"/>
              </w:rPr>
              <w:t>Jul 17 @ $19.07</w:t>
            </w:r>
          </w:p>
        </w:tc>
        <w:tc>
          <w:tcPr>
            <w:tcW w:type="dxa" w:w="1850"/>
            <w:vAlign w:val="center"/>
            <w:tcMar>
              <w:top w:w="90" w:type="dxa"/>
              <w:bottom w:w="90" w:type="dxa"/>
              <w:start w:w="120" w:type="dxa"/>
              <w:end w:w="120" w:type="dxa"/>
            </w:tcMar>
          </w:tcPr>
          <w:p>
            <w:pPr>
              <w:spacing w:before="0" w:after="0" w:line="252" w:lineRule="auto"/>
              <w:jc w:val="center"/>
            </w:pPr>
            <w:r/>
            <w:r>
              <w:rPr>
                <w:rFonts w:ascii="Calibri" w:hAnsi="Calibri"/>
                <w:b w:val="0"/>
                <w:sz w:val="17"/>
              </w:rPr>
              <w:t>Aug 3</w:t>
            </w:r>
          </w:p>
        </w:tc>
        <w:tc>
          <w:tcPr>
            <w:tcW w:type="dxa" w:w="1500"/>
            <w:vAlign w:val="center"/>
            <w:tcMar>
              <w:top w:w="90" w:type="dxa"/>
              <w:bottom w:w="90" w:type="dxa"/>
              <w:start w:w="120" w:type="dxa"/>
              <w:end w:w="120" w:type="dxa"/>
            </w:tcMar>
          </w:tcPr>
          <w:p>
            <w:pPr>
              <w:spacing w:before="0" w:after="0" w:line="252" w:lineRule="auto"/>
              <w:jc w:val="center"/>
            </w:pPr>
            <w:r/>
            <w:r>
              <w:rPr>
                <w:rFonts w:ascii="Calibri" w:hAnsi="Calibri"/>
                <w:b w:val="0"/>
                <w:sz w:val="17"/>
              </w:rPr>
              <w:t>$22.23</w:t>
            </w:r>
          </w:p>
        </w:tc>
        <w:tc>
          <w:tcPr>
            <w:tcW w:type="dxa" w:w="1560"/>
            <w:vAlign w:val="center"/>
            <w:tcMar>
              <w:top w:w="90" w:type="dxa"/>
              <w:bottom w:w="90" w:type="dxa"/>
              <w:start w:w="120" w:type="dxa"/>
              <w:end w:w="120" w:type="dxa"/>
            </w:tcMar>
          </w:tcPr>
          <w:p>
            <w:pPr>
              <w:spacing w:before="0" w:after="0" w:line="252" w:lineRule="auto"/>
              <w:jc w:val="center"/>
            </w:pPr>
            <w:r/>
            <w:r>
              <w:rPr>
                <w:rFonts w:ascii="Calibri" w:hAnsi="Calibri"/>
                <w:b w:val="0"/>
                <w:sz w:val="17"/>
              </w:rPr>
              <w:t>+11.4%</w:t>
            </w:r>
          </w:p>
        </w:tc>
      </w:tr>
    </w:tbl>
    <w:p>
      <w:r>
        <w:rPr>
          <w:rFonts w:ascii="Calibri" w:hAnsi="Calibri"/>
          <w:sz w:val="22"/>
        </w:rPr>
        <w:t>SNOW and NTAP appear more than once because the journal recorded separate trade decisions. Those repetitions are analytically important: they show that the process repeatedly lost contact with the same developing leaders rather than experiencing one isolated stop-out.</w:t>
      </w:r>
    </w:p>
    <w:p>
      <w:pPr>
        <w:pStyle w:val="Heading1"/>
        <w:keepNext/>
        <w:keepLines/>
      </w:pPr>
      <w:r>
        <w:t>Individual Trade Outcomes</w:t>
      </w:r>
    </w:p>
    <w:p>
      <w:r>
        <w:rPr>
          <w:rFonts w:ascii="Calibri" w:hAnsi="Calibri"/>
          <w:sz w:val="22"/>
        </w:rPr>
        <w:t>The appendix includes every one of the 55 eligible closed equity-long trades analyzed. 'Clear shakeout' means a loss or breakeven trade was at least 10% above its original entry at the August 10 close. 'Worked, then faded' means it reached at least 10% above entry after exit but was below that threshold by August 10. Four FMP entry mismatches are shown but excluded from price-sensitive conclusions.</w:t>
      </w:r>
    </w:p>
    <w:p>
      <w:r>
        <w:br w:type="page"/>
      </w:r>
    </w:p>
    <w:p>
      <w:pPr>
        <w:pStyle w:val="Heading2"/>
        <w:keepNext/>
        <w:keepLines/>
        <w:pageBreakBefore w:val="0"/>
      </w:pPr>
      <w:r>
        <w:t>CANSLIM Trades (38)</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LGIH</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D</w:t>
            </w:r>
          </w:p>
          <w:p>
            <w:pPr>
              <w:spacing w:after="40" w:before="0" w:line="252" w:lineRule="auto"/>
            </w:pPr>
            <w:r>
              <w:rPr>
                <w:rFonts w:ascii="Calibri" w:hAnsi="Calibri"/>
                <w:color w:val="5F6B75"/>
                <w:sz w:val="17"/>
              </w:rPr>
              <w:t>2026-08-05 to 2026-08-07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$61.97, exit $54.44, -$173, -0.01R; stated risk $15,000.</w:t>
            </w:r>
          </w:p>
          <w:p>
            <w:pPr>
              <w:spacing w:after="40" w:line="252" w:lineRule="auto" w:before="0"/>
            </w:pPr>
            <w:r>
              <w:rPr>
                <w:rFonts w:ascii="Calibri" w:hAnsi="Calibri"/>
                <w:b/>
                <w:color w:val="203748"/>
                <w:sz w:val="18"/>
              </w:rPr>
              <w:t xml:space="preserve">Subsequent outcome. </w:t>
            </w:r>
            <w:r>
              <w:rPr>
                <w:rFonts w:ascii="Calibri" w:hAnsi="Calibri"/>
                <w:sz w:val="18"/>
              </w:rPr>
              <w:t>As of 2026-08-10: $56.70, -8.5% vs. entry. Maximum high through the as-of date: -4.9%; maximum within the first 20 post-exit sessions: -4.9%.</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No tested re-entry signal appeared within 20 trading sessions after exit.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RELY</w:t>
            </w:r>
          </w:p>
          <w:p>
            <w:pPr>
              <w:spacing w:after="40" w:before="0" w:line="252" w:lineRule="auto"/>
            </w:pPr>
            <w:r>
              <w:rPr>
                <w:rFonts w:ascii="Calibri" w:hAnsi="Calibri"/>
                <w:b/>
                <w:color w:val="1F4D78"/>
                <w:sz w:val="16"/>
              </w:rPr>
              <w:t>RECOVERED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2026-07-17 to 2026-07-22</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$24.84, exit $23.32, -$228, -0.88R; stated risk $258.</w:t>
            </w:r>
          </w:p>
          <w:p>
            <w:pPr>
              <w:spacing w:after="40" w:line="252" w:lineRule="auto" w:before="0"/>
            </w:pPr>
            <w:r>
              <w:rPr>
                <w:rFonts w:ascii="Calibri" w:hAnsi="Calibri"/>
                <w:b/>
                <w:color w:val="203748"/>
                <w:sz w:val="18"/>
              </w:rPr>
              <w:t xml:space="preserve">Subsequent outcome. </w:t>
            </w:r>
            <w:r>
              <w:rPr>
                <w:rFonts w:ascii="Calibri" w:hAnsi="Calibri"/>
                <w:sz w:val="18"/>
              </w:rPr>
              <w:t>As of 2026-08-10: $23.14, -6.8% vs. entry. Maximum high through the as-of date: +9.3%; maximum within the first 20 post-exit sessions: +9.3%.</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2026-08-06 at $25.93; next-10-session maximum +1.3%, drawdown -12.3%; failed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2026-07-16 to 2026-07-17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$19.95, exit $19.07, -$254, -1.27R; stated risk $200.</w:t>
            </w:r>
          </w:p>
          <w:p>
            <w:pPr>
              <w:spacing w:after="40" w:line="252" w:lineRule="auto" w:before="0"/>
            </w:pPr>
            <w:r>
              <w:rPr>
                <w:rFonts w:ascii="Calibri" w:hAnsi="Calibri"/>
                <w:b/>
                <w:color w:val="203748"/>
                <w:sz w:val="18"/>
              </w:rPr>
              <w:t xml:space="preserve">Subsequent outcome. </w:t>
            </w:r>
            <w:r>
              <w:rPr>
                <w:rFonts w:ascii="Calibri" w:hAnsi="Calibri"/>
                <w:sz w:val="18"/>
              </w:rPr>
              <w:t>As of 2026-08-10: $22.23, +11.4% vs. entry. Maximum high through the as-of date: +12.5%; maximum within the first 20 post-exit sessions: +12.5%.</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2026-08-03 at $20.05; next-10-session maximum +11.9%, drawdown -0.6%; successful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LUV</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2026-07-15 to 2026-07-17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$49.18, exit $48.10, -$227, -0.76R;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$44.90, -8.7% vs. entry. Maximum high through the as-of date: +1.1%; maximum within the first 20 post-exit sessions: +1.1%.</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2026-08-03 at $47.07; next-10-session maximum +5.7%, drawdown -4.9%.</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SEDG</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2026-07-15 to 2026-07-16</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$58.00, exit $51.76, -$156, -0.62R; stated risk $250.</w:t>
            </w:r>
          </w:p>
          <w:p>
            <w:pPr>
              <w:spacing w:after="40" w:line="252" w:lineRule="auto" w:before="0"/>
            </w:pPr>
            <w:r>
              <w:rPr>
                <w:rFonts w:ascii="Calibri" w:hAnsi="Calibri"/>
                <w:b/>
                <w:color w:val="203748"/>
                <w:sz w:val="18"/>
              </w:rPr>
              <w:t xml:space="preserve">Subsequent outcome. </w:t>
            </w:r>
            <w:r>
              <w:rPr>
                <w:rFonts w:ascii="Calibri" w:hAnsi="Calibri"/>
                <w:sz w:val="18"/>
              </w:rPr>
              <w:t>As of 2026-08-10: $32.21, -44.5% vs. entry. Maximum high through the as-of date: -5.4%; maximum within the first 20 post-exit sessions: -5.4%.</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2026-08-03 at $45.12; next-10-session maximum +10.0%, drawdown -30.5%.</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AFRM</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2026-07-14 to 2026-07-17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$84.44, exit $79.43, -$226, -0.96R; stated risk $234.</w:t>
            </w:r>
          </w:p>
          <w:p>
            <w:pPr>
              <w:spacing w:after="40" w:line="252" w:lineRule="auto" w:before="0"/>
            </w:pPr>
            <w:r>
              <w:rPr>
                <w:rFonts w:ascii="Calibri" w:hAnsi="Calibri"/>
                <w:b/>
                <w:color w:val="203748"/>
                <w:sz w:val="18"/>
              </w:rPr>
              <w:t xml:space="preserve">Subsequent outcome. </w:t>
            </w:r>
            <w:r>
              <w:rPr>
                <w:rFonts w:ascii="Calibri" w:hAnsi="Calibri"/>
                <w:sz w:val="18"/>
              </w:rPr>
              <w:t>As of 2026-08-10: $75.54, -10.5% vs. entry. Maximum high through the as-of date: -4.1%; maximum within the first 20 post-exit sessions: -4.1%.</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2026-07-30 at $73.25; next-10-session maximum +10.6%, drawdown -3.9%.</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ANET</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2026-07-14 to 2026-07-15</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$181.30, exit $171.90, -$244, -1.01R; stated risk $241.</w:t>
            </w:r>
          </w:p>
          <w:p>
            <w:pPr>
              <w:spacing w:after="40" w:line="252" w:lineRule="auto" w:before="0"/>
            </w:pPr>
            <w:r>
              <w:rPr>
                <w:rFonts w:ascii="Calibri" w:hAnsi="Calibri"/>
                <w:b/>
                <w:color w:val="203748"/>
                <w:sz w:val="18"/>
              </w:rPr>
              <w:t xml:space="preserve">Subsequent outcome. </w:t>
            </w:r>
            <w:r>
              <w:rPr>
                <w:rFonts w:ascii="Calibri" w:hAnsi="Calibri"/>
                <w:sz w:val="18"/>
              </w:rPr>
              <w:t>As of 2026-08-10: $191.52, +5.6% vs. entry. Maximum high through the as-of date: +18.5%; maximum within the first 20 post-exit sessions: +18.5%.</w:t>
            </w:r>
          </w:p>
          <w:p>
            <w:pPr>
              <w:spacing w:after="40" w:line="252" w:lineRule="auto" w:before="0"/>
            </w:pPr>
            <w:r>
              <w:rPr>
                <w:rFonts w:ascii="Calibri" w:hAnsi="Calibri"/>
                <w:b/>
                <w:color w:val="203748"/>
                <w:sz w:val="18"/>
              </w:rPr>
              <w:t xml:space="preserve">Staying in. </w:t>
            </w:r>
            <w:r>
              <w:rPr>
                <w:rFonts w:ascii="Calibri" w:hAnsi="Calibri"/>
                <w:sz w:val="18"/>
              </w:rPr>
              <w:t>The trade did not yet have a full 20-session forward window for the standardized stay-in comparison.</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2026-08-03 at $184.89; next-10-session maximum +16.2%, drawdown +1.1%;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DELL</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2026-07-13 to 2026-07-14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$440.02, exit $450.01, $200, +0.59R; stated risk $338.</w:t>
            </w:r>
          </w:p>
          <w:p>
            <w:pPr>
              <w:spacing w:after="40" w:line="252" w:lineRule="auto" w:before="0"/>
            </w:pPr>
            <w:r>
              <w:rPr>
                <w:rFonts w:ascii="Calibri" w:hAnsi="Calibri"/>
                <w:b/>
                <w:color w:val="203748"/>
                <w:sz w:val="18"/>
              </w:rPr>
              <w:t xml:space="preserve">Subsequent outcome. </w:t>
            </w:r>
            <w:r>
              <w:rPr>
                <w:rFonts w:ascii="Calibri" w:hAnsi="Calibri"/>
                <w:sz w:val="18"/>
              </w:rPr>
              <w:t>As of 2026-08-10: $457.88, +4.1% vs. entry. Maximum high through the as-of date: +10.4%; maximum within the first 20 post-exit sessions: +10.4%.</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NTAP</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2026-07-13 to 2026-07-14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$166.25, exit $166.47, $5, +0.02R; stated risk $250.</w:t>
            </w:r>
          </w:p>
          <w:p>
            <w:pPr>
              <w:spacing w:after="40" w:line="252" w:lineRule="auto" w:before="0"/>
            </w:pPr>
            <w:r>
              <w:rPr>
                <w:rFonts w:ascii="Calibri" w:hAnsi="Calibri"/>
                <w:b/>
                <w:color w:val="203748"/>
                <w:sz w:val="18"/>
              </w:rPr>
              <w:t xml:space="preserve">Subsequent outcome. </w:t>
            </w:r>
            <w:r>
              <w:rPr>
                <w:rFonts w:ascii="Calibri" w:hAnsi="Calibri"/>
                <w:sz w:val="18"/>
              </w:rPr>
              <w:t>As of 2026-08-10: $198.72, +19.5% vs. entry. Maximum high through the as-of date: +21.7%; maximum within the first 20 post-exit sessions: +21.7%.</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+1.98R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2026-07-22 at $166.54; next-10-session maximum +17.5%, drawdown -1.9%; successful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DXCM</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2026-07-10 to 2026-07-17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$75.64, exit $74.85, -$122, -0.38R; stated risk $326.</w:t>
            </w:r>
          </w:p>
          <w:p>
            <w:pPr>
              <w:spacing w:after="40" w:line="252" w:lineRule="auto" w:before="0"/>
            </w:pPr>
            <w:r>
              <w:rPr>
                <w:rFonts w:ascii="Calibri" w:hAnsi="Calibri"/>
                <w:b/>
                <w:color w:val="203748"/>
                <w:sz w:val="18"/>
              </w:rPr>
              <w:t xml:space="preserve">Subsequent outcome. </w:t>
            </w:r>
            <w:r>
              <w:rPr>
                <w:rFonts w:ascii="Calibri" w:hAnsi="Calibri"/>
                <w:sz w:val="18"/>
              </w:rPr>
              <w:t>As of 2026-08-10: $87.65, +15.9% vs. entry. Maximum high through the as-of date: +16.6%; maximum within the first 20 post-exit sessions: +16.6%.</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+1.48R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2026-07-31 at $83.45; next-10-session maximum +5.7%, drawdown -1.6%; not fully resolved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NTAP</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2026-07-09 to 2026-07-10</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$168.72, exit $169.46, $13, +0.06R; stated risk $216.</w:t>
            </w:r>
          </w:p>
          <w:p>
            <w:pPr>
              <w:spacing w:after="40" w:line="252" w:lineRule="auto" w:before="0"/>
            </w:pPr>
            <w:r>
              <w:rPr>
                <w:rFonts w:ascii="Calibri" w:hAnsi="Calibri"/>
                <w:b/>
                <w:color w:val="203748"/>
                <w:sz w:val="18"/>
              </w:rPr>
              <w:t xml:space="preserve">Subsequent outcome. </w:t>
            </w:r>
            <w:r>
              <w:rPr>
                <w:rFonts w:ascii="Calibri" w:hAnsi="Calibri"/>
                <w:sz w:val="18"/>
              </w:rPr>
              <w:t>As of 2026-08-10: $198.72, +17.8% vs. entry. Maximum high through the as-of date: +19.9%; maximum within the first 20 post-exit sessions: +16.0%.</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+1.41R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2026-07-14 at $174.55; next-10-session maximum +0.7%, drawdown -10.5%; failed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W</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2026-07-09 to 2026-07-10</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$89.02, exit $89.37, $20, +0.08R; stated risk $245.</w:t>
            </w:r>
          </w:p>
          <w:p>
            <w:pPr>
              <w:spacing w:after="40" w:line="252" w:lineRule="auto" w:before="0"/>
            </w:pPr>
            <w:r>
              <w:rPr>
                <w:rFonts w:ascii="Calibri" w:hAnsi="Calibri"/>
                <w:b/>
                <w:color w:val="203748"/>
                <w:sz w:val="18"/>
              </w:rPr>
              <w:t xml:space="preserve">Subsequent outcome. </w:t>
            </w:r>
            <w:r>
              <w:rPr>
                <w:rFonts w:ascii="Calibri" w:hAnsi="Calibri"/>
                <w:sz w:val="18"/>
              </w:rPr>
              <w:t>As of 2026-08-10: $103.26, +16.0% vs. entry. Maximum high through the as-of date: +32.9%; maximum within the first 20 post-exit sessions: +32.9%.</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+1.12R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2026-07-15 at $91.67; next-10-session maximum +6.9%, drawdown -13.9%; failed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HOOD</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2026-07-08 to 2026-07-16</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$113.62, exit $109.28, -$252, -1.43R; stated risk $176.</w:t>
            </w:r>
          </w:p>
          <w:p>
            <w:pPr>
              <w:spacing w:after="40" w:line="252" w:lineRule="auto" w:before="0"/>
            </w:pPr>
            <w:r>
              <w:rPr>
                <w:rFonts w:ascii="Calibri" w:hAnsi="Calibri"/>
                <w:b/>
                <w:color w:val="203748"/>
                <w:sz w:val="18"/>
              </w:rPr>
              <w:t xml:space="preserve">Subsequent outcome. </w:t>
            </w:r>
            <w:r>
              <w:rPr>
                <w:rFonts w:ascii="Calibri" w:hAnsi="Calibri"/>
                <w:sz w:val="18"/>
              </w:rPr>
              <w:t>As of 2026-08-10: $94.52, -16.8% vs. entry. Maximum high through the as-of date: -4.8%; maximum within the first 20 post-exit sessions: -4.8%.</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2026-08-07 at $93.29; next-10-session maximum +2.9%, drawdown -1.0%.</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GLW</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2026-07-02 to 2026-07-02</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$217.37, exit $211.97, -$124, -0.55R; stated risk $225.</w:t>
            </w:r>
          </w:p>
          <w:p>
            <w:pPr>
              <w:spacing w:after="40" w:line="252" w:lineRule="auto" w:before="0"/>
            </w:pPr>
            <w:r>
              <w:rPr>
                <w:rFonts w:ascii="Calibri" w:hAnsi="Calibri"/>
                <w:b/>
                <w:color w:val="203748"/>
                <w:sz w:val="18"/>
              </w:rPr>
              <w:t xml:space="preserve">Subsequent outcome. </w:t>
            </w:r>
            <w:r>
              <w:rPr>
                <w:rFonts w:ascii="Calibri" w:hAnsi="Calibri"/>
                <w:sz w:val="18"/>
              </w:rPr>
              <w:t>As of 2026-08-10: $157.76, -27.4% vs. entry. Maximum high through the as-of date: -4.8%; maximum within the first 20 post-exit sessions: -4.8%.</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tested re-entry signal appeared within 20 trading sessions after exit.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NTAP</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2026-07-02 to 2026-07-08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$161.52, exit $160.94, -$33, -0.14R; stated risk $240.</w:t>
            </w:r>
          </w:p>
          <w:p>
            <w:pPr>
              <w:spacing w:after="40" w:line="252" w:lineRule="auto" w:before="0"/>
            </w:pPr>
            <w:r>
              <w:rPr>
                <w:rFonts w:ascii="Calibri" w:hAnsi="Calibri"/>
                <w:b/>
                <w:color w:val="203748"/>
                <w:sz w:val="18"/>
              </w:rPr>
              <w:t xml:space="preserve">Subsequent outcome. </w:t>
            </w:r>
            <w:r>
              <w:rPr>
                <w:rFonts w:ascii="Calibri" w:hAnsi="Calibri"/>
                <w:sz w:val="18"/>
              </w:rPr>
              <w:t>As of 2026-08-10: $198.72, +23.0% vs. entry. Maximum high through the as-of date: +25.2%; maximum within the first 20 post-exit sessions: +21.2%.</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+1.07R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2026-07-17 at $163.88; next-10-session maximum +9.7%, drawdown -1.9%; successful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INTC</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2026-07-01 to 2026-07-02</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$132.68, exit $123.59, -$118, -0.59R; stated risk $200.</w:t>
            </w:r>
          </w:p>
          <w:p>
            <w:pPr>
              <w:spacing w:after="40" w:line="252" w:lineRule="auto" w:before="0"/>
            </w:pPr>
            <w:r>
              <w:rPr>
                <w:rFonts w:ascii="Calibri" w:hAnsi="Calibri"/>
                <w:b/>
                <w:color w:val="203748"/>
                <w:sz w:val="18"/>
              </w:rPr>
              <w:t xml:space="preserve">Subsequent outcome. </w:t>
            </w:r>
            <w:r>
              <w:rPr>
                <w:rFonts w:ascii="Calibri" w:hAnsi="Calibri"/>
                <w:sz w:val="18"/>
              </w:rPr>
              <w:t>As of 2026-08-10: $97.52, -26.5% vs. entry. Maximum high through the as-of date: -4.1%; maximum within the first 20 post-exit sessions: -4.1%.</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2026-07-21 at $105.45; next-10-session maximum +1.3%, drawdown -22.4%.</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SNOW</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2026-07-01 to 2026-07-01</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$259.78, exit $260.04, $2, +0.01R; stated risk $250.</w:t>
            </w:r>
          </w:p>
          <w:p>
            <w:pPr>
              <w:spacing w:after="40" w:line="252" w:lineRule="auto" w:before="0"/>
            </w:pPr>
            <w:r>
              <w:rPr>
                <w:rFonts w:ascii="Calibri" w:hAnsi="Calibri"/>
                <w:b/>
                <w:color w:val="203748"/>
                <w:sz w:val="18"/>
              </w:rPr>
              <w:t xml:space="preserve">Subsequent outcome. </w:t>
            </w:r>
            <w:r>
              <w:rPr>
                <w:rFonts w:ascii="Calibri" w:hAnsi="Calibri"/>
                <w:sz w:val="18"/>
              </w:rPr>
              <w:t>As of 2026-08-10: $334.70, +28.8% vs. entry. Maximum high through the as-of date: +31.1%; maximum within the first 20 post-exit sessions: +14.8%.</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+1.18R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exit-day-high break on 2026-07-09 at $267.49; next-10-session maximum +4.5%, drawdown -3.4%.</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UPST</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2026-06-29 to 2026-07-08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$35.02, exit $33.66, -$347, -0.99R; stated risk $350.</w:t>
            </w:r>
          </w:p>
          <w:p>
            <w:pPr>
              <w:spacing w:after="40" w:line="252" w:lineRule="auto" w:before="0"/>
            </w:pPr>
            <w:r>
              <w:rPr>
                <w:rFonts w:ascii="Calibri" w:hAnsi="Calibri"/>
                <w:b/>
                <w:color w:val="203748"/>
                <w:sz w:val="18"/>
              </w:rPr>
              <w:t xml:space="preserve">Subsequent outcome. </w:t>
            </w:r>
            <w:r>
              <w:rPr>
                <w:rFonts w:ascii="Calibri" w:hAnsi="Calibri"/>
                <w:sz w:val="18"/>
              </w:rPr>
              <w:t>As of 2026-08-10: $30.21, -13.7% vs. entry. Maximum high through the as-of date: -0.9%; maximum within the first 20 post-exit sessions: -0.9%.</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exit-day-high break on 2026-07-09 at $33.23; next-10-session maximum +4.4%, drawdown -19.0%.</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HOOD</w:t>
            </w:r>
          </w:p>
          <w:p>
            <w:pPr>
              <w:spacing w:after="40" w:before="0" w:line="252" w:lineRule="auto"/>
            </w:pPr>
            <w:r>
              <w:rPr>
                <w:rFonts w:ascii="Calibri" w:hAnsi="Calibri"/>
                <w:b/>
                <w:color w:val="7A5A00"/>
                <w:sz w:val="16"/>
              </w:rPr>
              <w:t>DATA MISMATCH</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2026-06-26 to 2026-07-08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$104.62, exit $111.41, $645, +3.64R; stated risk $177.</w:t>
            </w:r>
          </w:p>
          <w:p>
            <w:pPr>
              <w:spacing w:after="40" w:line="252" w:lineRule="auto" w:before="0"/>
            </w:pPr>
            <w:r>
              <w:rPr>
                <w:rFonts w:ascii="Calibri" w:hAnsi="Calibri"/>
                <w:b/>
                <w:color w:val="203748"/>
                <w:sz w:val="18"/>
              </w:rPr>
              <w:t xml:space="preserve">Subsequent outcome. </w:t>
            </w:r>
            <w:r>
              <w:rPr>
                <w:rFonts w:ascii="Calibri" w:hAnsi="Calibri"/>
                <w:sz w:val="18"/>
              </w:rPr>
              <w:t>FMP price-sensitive outcome excluded due to entry-price mismatch.</w:t>
            </w:r>
          </w:p>
          <w:p>
            <w:pPr>
              <w:spacing w:after="40" w:line="252" w:lineRule="auto" w:before="0"/>
            </w:pPr>
            <w:r>
              <w:rPr>
                <w:rFonts w:ascii="Calibri" w:hAnsi="Calibri"/>
                <w:b/>
                <w:color w:val="203748"/>
                <w:sz w:val="18"/>
              </w:rPr>
              <w:t xml:space="preserve">Staying in. </w:t>
            </w:r>
            <w:r>
              <w:rPr>
                <w:rFonts w:ascii="Calibri" w:hAnsi="Calibri"/>
                <w:sz w:val="18"/>
              </w:rPr>
              <w:t>Stay-in comparison excluded because the entry price did not align with FMP's same-day range.</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MCHP</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D</w:t>
            </w:r>
          </w:p>
          <w:p>
            <w:pPr>
              <w:spacing w:after="40" w:before="0" w:line="252" w:lineRule="auto"/>
            </w:pPr>
            <w:r>
              <w:rPr>
                <w:rFonts w:ascii="Calibri" w:hAnsi="Calibri"/>
                <w:color w:val="5F6B75"/>
                <w:sz w:val="17"/>
              </w:rPr>
              <w:t>2026-06-25 to 2026-06-26</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$95.72, exit $88.42, -$219, -0.80R; stated risk $275.</w:t>
            </w:r>
          </w:p>
          <w:p>
            <w:pPr>
              <w:spacing w:after="40" w:line="252" w:lineRule="auto" w:before="0"/>
            </w:pPr>
            <w:r>
              <w:rPr>
                <w:rFonts w:ascii="Calibri" w:hAnsi="Calibri"/>
                <w:b/>
                <w:color w:val="203748"/>
                <w:sz w:val="18"/>
              </w:rPr>
              <w:t xml:space="preserve">Subsequent outcome. </w:t>
            </w:r>
            <w:r>
              <w:rPr>
                <w:rFonts w:ascii="Calibri" w:hAnsi="Calibri"/>
                <w:sz w:val="18"/>
              </w:rPr>
              <w:t>As of 2026-08-10: $81.39, -15.0% vs. entry. Maximum high through the as-of date: -3.9%; maximum within the first 20 post-exit sessions: -3.9%.</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2026-07-09 at $88.26; next-10-session maximum +1.3%, drawdown -11.6%.</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HIMS</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2026-06-24 to 2026-06-25</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$32.66, exit $30.89, -$160, -0.56R; stated risk $284.</w:t>
            </w:r>
          </w:p>
          <w:p>
            <w:pPr>
              <w:spacing w:after="40" w:line="252" w:lineRule="auto" w:before="0"/>
            </w:pPr>
            <w:r>
              <w:rPr>
                <w:rFonts w:ascii="Calibri" w:hAnsi="Calibri"/>
                <w:b/>
                <w:color w:val="203748"/>
                <w:sz w:val="18"/>
              </w:rPr>
              <w:t xml:space="preserve">Subsequent outcome. </w:t>
            </w:r>
            <w:r>
              <w:rPr>
                <w:rFonts w:ascii="Calibri" w:hAnsi="Calibri"/>
                <w:sz w:val="18"/>
              </w:rPr>
              <w:t>As of 2026-08-10: $31.77, -2.7% vs. entry. Maximum high through the as-of date: +19.5%; maximum within the first 20 post-exit sessions: +19.5%.</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+0.01R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2026-07-23 at $32.74; next-10-session maximum +5.6%, drawdown -26.0%; failed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W</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2026-06-24 to 2026-07-08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$94.16, exit $88.10, -$303, -1.04R; stated risk $293.</w:t>
            </w:r>
          </w:p>
          <w:p>
            <w:pPr>
              <w:spacing w:after="40" w:line="252" w:lineRule="auto" w:before="0"/>
            </w:pPr>
            <w:r>
              <w:rPr>
                <w:rFonts w:ascii="Calibri" w:hAnsi="Calibri"/>
                <w:b/>
                <w:color w:val="203748"/>
                <w:sz w:val="18"/>
              </w:rPr>
              <w:t xml:space="preserve">Subsequent outcome. </w:t>
            </w:r>
            <w:r>
              <w:rPr>
                <w:rFonts w:ascii="Calibri" w:hAnsi="Calibri"/>
                <w:sz w:val="18"/>
              </w:rPr>
              <w:t>As of 2026-08-10: $103.26, +9.7% vs. entry. Maximum high through the as-of date: +25.6%; maximum within the first 20 post-exit sessions: +25.6%.</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2026-07-27 at $94.53; next-10-session maximum +25.2%, drawdown -10.3%; failed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SEDG</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2026-06-22 to 2026-06-24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$59.86, exit $51.01, -$354, -1.01R; stated risk $350.</w:t>
            </w:r>
          </w:p>
          <w:p>
            <w:pPr>
              <w:spacing w:after="40" w:line="252" w:lineRule="auto" w:before="0"/>
            </w:pPr>
            <w:r>
              <w:rPr>
                <w:rFonts w:ascii="Calibri" w:hAnsi="Calibri"/>
                <w:b/>
                <w:color w:val="203748"/>
                <w:sz w:val="18"/>
              </w:rPr>
              <w:t xml:space="preserve">Subsequent outcome. </w:t>
            </w:r>
            <w:r>
              <w:rPr>
                <w:rFonts w:ascii="Calibri" w:hAnsi="Calibri"/>
                <w:sz w:val="18"/>
              </w:rPr>
              <w:t>As of 2026-08-10: $32.21, -46.2% vs. entry. Maximum high through the as-of date: +1.8%; maximum within the first 20 post-exit sessions: +1.8%.</w:t>
            </w:r>
          </w:p>
          <w:p>
            <w:pPr>
              <w:spacing w:after="40" w:line="252" w:lineRule="auto" w:before="0"/>
            </w:pPr>
            <w:r>
              <w:rPr>
                <w:rFonts w:ascii="Calibri" w:hAnsi="Calibri"/>
                <w:b/>
                <w:color w:val="203748"/>
                <w:sz w:val="18"/>
              </w:rPr>
              <w:t xml:space="preserve">Staying in. </w:t>
            </w:r>
            <w:r>
              <w:rPr>
                <w:rFonts w:ascii="Calibri" w:hAnsi="Calibri"/>
                <w:sz w:val="18"/>
              </w:rPr>
              <w:t>Neither the 2.5 ATR stop nor +2 ATR objective resolved within 20 sessions; standardized 20-session result -0.65R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exit-day-high break on 2026-06-29 at $55.36; next-10-session maximum +10.1%, drawdown -13.7%.</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INTC</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2026-06-18 to 2026-06-23</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$132.10, exit $132.88, $18, +0.05R; stated risk $330.</w:t>
            </w:r>
          </w:p>
          <w:p>
            <w:pPr>
              <w:spacing w:after="40" w:line="252" w:lineRule="auto" w:before="0"/>
            </w:pPr>
            <w:r>
              <w:rPr>
                <w:rFonts w:ascii="Calibri" w:hAnsi="Calibri"/>
                <w:b/>
                <w:color w:val="203748"/>
                <w:sz w:val="18"/>
              </w:rPr>
              <w:t xml:space="preserve">Subsequent outcome. </w:t>
            </w:r>
            <w:r>
              <w:rPr>
                <w:rFonts w:ascii="Calibri" w:hAnsi="Calibri"/>
                <w:sz w:val="18"/>
              </w:rPr>
              <w:t>As of 2026-08-10: $97.52, -26.2% vs. entry. Maximum high through the as-of date: +7.8%; maximum within the first 20 post-exit sessions: +7.8%.</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2026-06-25 at $132.87; next-10-session maximum +7.1%, drawdown -21.4%; failed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SNOW</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2026-06-18 to 2026-06-24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$232.75, exit $229.43, -$93, -0.25R; stated risk $370.</w:t>
            </w:r>
          </w:p>
          <w:p>
            <w:pPr>
              <w:spacing w:after="40" w:line="252" w:lineRule="auto" w:before="0"/>
            </w:pPr>
            <w:r>
              <w:rPr>
                <w:rFonts w:ascii="Calibri" w:hAnsi="Calibri"/>
                <w:b/>
                <w:color w:val="203748"/>
                <w:sz w:val="18"/>
              </w:rPr>
              <w:t xml:space="preserve">Subsequent outcome. </w:t>
            </w:r>
            <w:r>
              <w:rPr>
                <w:rFonts w:ascii="Calibri" w:hAnsi="Calibri"/>
                <w:sz w:val="18"/>
              </w:rPr>
              <w:t>As of 2026-08-10: $334.70, +43.8% vs. entry. Maximum high through the as-of date: +46.3%; maximum within the first 20 post-exit sessions: +20.1%.</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+1.06R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2026-06-26 at $248.96; next-10-session maximum +10.4%, drawdown -1.2%; not fully resolved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TWLO</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2026-06-18 to 2026-06-24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$187.25, exit $187.50, $4, +0.01R; stated risk $330.</w:t>
            </w:r>
          </w:p>
          <w:p>
            <w:pPr>
              <w:spacing w:after="40" w:line="252" w:lineRule="auto" w:before="0"/>
            </w:pPr>
            <w:r>
              <w:rPr>
                <w:rFonts w:ascii="Calibri" w:hAnsi="Calibri"/>
                <w:b/>
                <w:color w:val="203748"/>
                <w:sz w:val="18"/>
              </w:rPr>
              <w:t xml:space="preserve">Subsequent outcome. </w:t>
            </w:r>
            <w:r>
              <w:rPr>
                <w:rFonts w:ascii="Calibri" w:hAnsi="Calibri"/>
                <w:sz w:val="18"/>
              </w:rPr>
              <w:t>As of 2026-08-10: $250.06, +33.5% vs. entry. Maximum high through the as-of date: +36.5%; maximum within the first 20 post-exit sessions: +22.4%.</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+0.50R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exit-day-high break on 2026-06-29 at $198.77; next-10-session maximum +15.3%, drawdown -2.2%.</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HIMS</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2026-06-17 to 2026-06-23</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$33.08, exit $33.01, -$7, -0.02R; stated risk $338.</w:t>
            </w:r>
          </w:p>
          <w:p>
            <w:pPr>
              <w:spacing w:after="40" w:line="252" w:lineRule="auto" w:before="0"/>
            </w:pPr>
            <w:r>
              <w:rPr>
                <w:rFonts w:ascii="Calibri" w:hAnsi="Calibri"/>
                <w:b/>
                <w:color w:val="203748"/>
                <w:sz w:val="18"/>
              </w:rPr>
              <w:t xml:space="preserve">Subsequent outcome. </w:t>
            </w:r>
            <w:r>
              <w:rPr>
                <w:rFonts w:ascii="Calibri" w:hAnsi="Calibri"/>
                <w:sz w:val="18"/>
              </w:rPr>
              <w:t>As of 2026-08-10: $31.77, -4.0% vs. entry. Maximum high through the as-of date: +18.0%; maximum within the first 20 post-exit sessions: +18.0%.</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-0.04R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2026-06-26 at $33.94; next-10-session maximum +15.1%, drawdown -6.9%; successful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LABU</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2026-06-17 to 2026-07-01</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$215.46, exit $274.61, $887, +3.08R; stated risk $288.</w:t>
            </w:r>
          </w:p>
          <w:p>
            <w:pPr>
              <w:spacing w:after="40" w:line="252" w:lineRule="auto" w:before="0"/>
            </w:pPr>
            <w:r>
              <w:rPr>
                <w:rFonts w:ascii="Calibri" w:hAnsi="Calibri"/>
                <w:b/>
                <w:color w:val="203748"/>
                <w:sz w:val="18"/>
              </w:rPr>
              <w:t xml:space="preserve">Subsequent outcome. </w:t>
            </w:r>
            <w:r>
              <w:rPr>
                <w:rFonts w:ascii="Calibri" w:hAnsi="Calibri"/>
                <w:sz w:val="18"/>
              </w:rPr>
              <w:t>As of 2026-08-10: $280.02, +30.0% vs. entry. Maximum high through the as-of date: +54.6%; maximum within the first 20 post-exit sessions: +54.6%.</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+1.24R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APH</w:t>
            </w:r>
          </w:p>
          <w:p>
            <w:pPr>
              <w:spacing w:after="40" w:before="0" w:line="252" w:lineRule="auto"/>
            </w:pPr>
            <w:r>
              <w:rPr>
                <w:rFonts w:ascii="Calibri" w:hAnsi="Calibri"/>
                <w:b/>
                <w:color w:val="7A5A00"/>
                <w:sz w:val="16"/>
              </w:rPr>
              <w:t>DATA MISMATCH</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2026-06-16 to 2026-07-02</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$167.24, exit $164.77, -$138, -0.42R; stated risk $330.</w:t>
            </w:r>
          </w:p>
          <w:p>
            <w:pPr>
              <w:spacing w:after="40" w:line="252" w:lineRule="auto" w:before="0"/>
            </w:pPr>
            <w:r>
              <w:rPr>
                <w:rFonts w:ascii="Calibri" w:hAnsi="Calibri"/>
                <w:b/>
                <w:color w:val="203748"/>
                <w:sz w:val="18"/>
              </w:rPr>
              <w:t xml:space="preserve">Subsequent outcome. </w:t>
            </w:r>
            <w:r>
              <w:rPr>
                <w:rFonts w:ascii="Calibri" w:hAnsi="Calibri"/>
                <w:sz w:val="18"/>
              </w:rPr>
              <w:t>FMP price-sensitive outcome excluded due to entry-price mismatch.</w:t>
            </w:r>
          </w:p>
          <w:p>
            <w:pPr>
              <w:spacing w:after="40" w:line="252" w:lineRule="auto" w:before="0"/>
            </w:pPr>
            <w:r>
              <w:rPr>
                <w:rFonts w:ascii="Calibri" w:hAnsi="Calibri"/>
                <w:b/>
                <w:color w:val="203748"/>
                <w:sz w:val="18"/>
              </w:rPr>
              <w:t xml:space="preserve">Staying in. </w:t>
            </w:r>
            <w:r>
              <w:rPr>
                <w:rFonts w:ascii="Calibri" w:hAnsi="Calibri"/>
                <w:sz w:val="18"/>
              </w:rPr>
              <w:t>Stay-in comparison excluded because the entry price did not align with FMP's same-day range.</w:t>
            </w:r>
          </w:p>
          <w:p>
            <w:pPr>
              <w:spacing w:after="40" w:line="252" w:lineRule="auto" w:before="0"/>
            </w:pPr>
            <w:r>
              <w:rPr>
                <w:rFonts w:ascii="Calibri" w:hAnsi="Calibri"/>
                <w:b/>
                <w:color w:val="203748"/>
                <w:sz w:val="18"/>
              </w:rPr>
              <w:t xml:space="preserve">Getting back in. </w:t>
            </w:r>
            <w:r>
              <w:rPr>
                <w:rFonts w:ascii="Calibri" w:hAnsi="Calibri"/>
                <w:sz w:val="18"/>
              </w:rPr>
              <w:t>Re-entry signals were not scored because the journal entry price did not align with FMP's same-day range.</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SNOW</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2026-06-16 to 2026-06-18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$245.41, exit $222.28, -$301, -1.04R; stated risk $289.</w:t>
            </w:r>
          </w:p>
          <w:p>
            <w:pPr>
              <w:spacing w:after="40" w:line="252" w:lineRule="auto" w:before="0"/>
            </w:pPr>
            <w:r>
              <w:rPr>
                <w:rFonts w:ascii="Calibri" w:hAnsi="Calibri"/>
                <w:b/>
                <w:color w:val="203748"/>
                <w:sz w:val="18"/>
              </w:rPr>
              <w:t xml:space="preserve">Subsequent outcome. </w:t>
            </w:r>
            <w:r>
              <w:rPr>
                <w:rFonts w:ascii="Calibri" w:hAnsi="Calibri"/>
                <w:sz w:val="18"/>
              </w:rPr>
              <w:t>As of 2026-08-10: $334.70, +36.4% vs. entry. Maximum high through the as-of date: +38.7%; maximum within the first 20 post-exit sessions: +13.8%.</w:t>
            </w:r>
          </w:p>
          <w:p>
            <w:pPr>
              <w:spacing w:after="40" w:line="252" w:lineRule="auto" w:before="0"/>
            </w:pPr>
            <w:r>
              <w:rPr>
                <w:rFonts w:ascii="Calibri" w:hAnsi="Calibri"/>
                <w:b/>
                <w:color w:val="203748"/>
                <w:sz w:val="18"/>
              </w:rPr>
              <w:t xml:space="preserve">Staying in. </w:t>
            </w:r>
            <w:r>
              <w:rPr>
                <w:rFonts w:ascii="Calibri" w:hAnsi="Calibri"/>
                <w:sz w:val="18"/>
              </w:rPr>
              <w:t>Neither the 2.5 ATR stop nor +2 ATR objective resolved within 20 sessions; standardized 20-session result +0.49R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2026-06-26 at $248.96; next-10-session maximum +10.4%, drawdown -1.2%; not fully resolved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HOOD</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2026-06-12 to 2026-06-24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$97.66, exit $98.59, $60, +0.20R;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$94.52, -3.2% vs. entry. Maximum high through the as-of date: +22.9%; maximum within the first 20 post-exit sessions: +22.9%.</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+0.93R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APH</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2026-06-10 to 2026-06-11</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$158.80, exit $151.61, -$94, -0.31R;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$167.70, +5.6% vs. entry. Maximum high through the as-of date: +12.4%; maximum within the first 20 post-exit sessions: +12.4%.</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+0.01R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2026-06-16 at $158.81; next-10-session maximum +12.4%, drawdown -1.6%;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ARM</w:t>
            </w:r>
          </w:p>
          <w:p>
            <w:pPr>
              <w:spacing w:after="40" w:before="0" w:line="252" w:lineRule="auto"/>
            </w:pPr>
            <w:r>
              <w:rPr>
                <w:rFonts w:ascii="Calibri" w:hAnsi="Calibri"/>
                <w:b/>
                <w:color w:val="7A5A00"/>
                <w:sz w:val="16"/>
              </w:rPr>
              <w:t>DATA MISMATCH</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2026-06-10 to 2026-06-22</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$356.54, exit $393.14, $549, +1.93R; stated risk $285.</w:t>
            </w:r>
          </w:p>
          <w:p>
            <w:pPr>
              <w:spacing w:after="40" w:line="252" w:lineRule="auto" w:before="0"/>
            </w:pPr>
            <w:r>
              <w:rPr>
                <w:rFonts w:ascii="Calibri" w:hAnsi="Calibri"/>
                <w:b/>
                <w:color w:val="203748"/>
                <w:sz w:val="18"/>
              </w:rPr>
              <w:t xml:space="preserve">Subsequent outcome. </w:t>
            </w:r>
            <w:r>
              <w:rPr>
                <w:rFonts w:ascii="Calibri" w:hAnsi="Calibri"/>
                <w:sz w:val="18"/>
              </w:rPr>
              <w:t>FMP price-sensitive outcome excluded due to entry-price mismatch.</w:t>
            </w:r>
          </w:p>
          <w:p>
            <w:pPr>
              <w:spacing w:after="40" w:line="252" w:lineRule="auto" w:before="0"/>
            </w:pPr>
            <w:r>
              <w:rPr>
                <w:rFonts w:ascii="Calibri" w:hAnsi="Calibri"/>
                <w:b/>
                <w:color w:val="203748"/>
                <w:sz w:val="18"/>
              </w:rPr>
              <w:t xml:space="preserve">Staying in. </w:t>
            </w:r>
            <w:r>
              <w:rPr>
                <w:rFonts w:ascii="Calibri" w:hAnsi="Calibri"/>
                <w:sz w:val="18"/>
              </w:rPr>
              <w:t>Stay-in comparison excluded because the entry price did not align with FMP's same-day range.</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CRDO</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2026-06-10 to 2026-06-24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$253.88, exit $265.42, $162, +0.54R;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$239.94, -5.5% vs. entry. Maximum high through the as-of date: +14.4%; maximum within the first 20 post-exit sessions: +14.4%.</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+0.06R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CRDO</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2026-06-09 to 2026-06-09</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$236.86, exit $235.05, -$4, -0.01R;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$239.94, +1.3% vs. entry. Maximum high through the as-of date: +30.3%; maximum within the first 20 post-exit sessions: +30.3%.</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+0.47R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2026-06-10 at $237.68; next-10-session maximum +29.9%, drawdown +0.5%;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CRDO</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2026-06-09 to 2026-06-09</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$235.79, exit $210.77, -$225, -0.75R;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$239.94, +1.8% vs. entry. Maximum high through the as-of date: +30.9%; maximum within the first 20 post-exit sessions: +30.9%.</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+0.49R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2026-06-10 at $237.68; next-10-session maximum +29.9%, drawdown +0.5%; successful by the +2 ATR before -1 ATR test.</w:t>
            </w:r>
          </w:p>
        </w:tc>
      </w:tr>
    </w:tbl>
    <w:p>
      <w:pPr>
        <w:spacing w:after="40"/>
      </w:pPr>
    </w:p>
    <w:p>
      <w:pPr>
        <w:pStyle w:val="Heading2"/>
        <w:keepNext/>
        <w:keepLines/>
        <w:pageBreakBefore/>
      </w:pPr>
      <w:r>
        <w:t>CANSLIM Trades (38)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LLY</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2026-06-04 to 2026-07-31</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$1,164.81, exit $1,141.86, -$298, -0.99R;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$1,231.94, +5.8% vs. entry. Maximum high through the as-of date: +5.8%; maximum within the first 20 post-exit sessions: +5.8%.</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+0.40R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2026-08-05 at $1,169.86; next-10-session maximum +5.3%, drawdown -0.7%; not fully resolved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TWLO</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CANSLIM</w:t>
            </w:r>
          </w:p>
          <w:p>
            <w:pPr>
              <w:spacing w:after="40" w:before="0" w:line="252" w:lineRule="auto"/>
            </w:pPr>
            <w:r>
              <w:rPr>
                <w:rFonts w:ascii="Calibri" w:hAnsi="Calibri"/>
                <w:color w:val="5F6B75"/>
                <w:sz w:val="17"/>
              </w:rPr>
              <w:t>Grade F</w:t>
            </w:r>
          </w:p>
          <w:p>
            <w:pPr>
              <w:spacing w:after="40" w:before="0" w:line="252" w:lineRule="auto"/>
            </w:pPr>
            <w:r>
              <w:rPr>
                <w:rFonts w:ascii="Calibri" w:hAnsi="Calibri"/>
                <w:color w:val="5F6B75"/>
                <w:sz w:val="17"/>
              </w:rPr>
              <w:t>2026-06-01 to 2026-06-08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$210.03, exit $221.76, $164, +0.60R; stated risk $275.</w:t>
            </w:r>
          </w:p>
          <w:p>
            <w:pPr>
              <w:spacing w:after="40" w:line="252" w:lineRule="auto" w:before="0"/>
            </w:pPr>
            <w:r>
              <w:rPr>
                <w:rFonts w:ascii="Calibri" w:hAnsi="Calibri"/>
                <w:b/>
                <w:color w:val="203748"/>
                <w:sz w:val="18"/>
              </w:rPr>
              <w:t xml:space="preserve">Subsequent outcome. </w:t>
            </w:r>
            <w:r>
              <w:rPr>
                <w:rFonts w:ascii="Calibri" w:hAnsi="Calibri"/>
                <w:sz w:val="18"/>
              </w:rPr>
              <w:t>As of 2026-08-10: $250.06, +19.1% vs. entry. Maximum high through the as-of date: +21.7%; maximum within the first 20 post-exit sessions: +4.9%.</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bl>
    <w:p>
      <w:pPr>
        <w:spacing w:after="40"/>
      </w:pPr>
    </w:p>
    <w:p>
      <w:r>
        <w:br w:type="page"/>
      </w:r>
    </w:p>
    <w:p>
      <w:pPr>
        <w:pStyle w:val="Heading2"/>
        <w:keepNext/>
        <w:keepLines/>
        <w:pageBreakBefore w:val="0"/>
      </w:pPr>
      <w:r>
        <w:t>Other Equity-Long Trades (17)</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MDT</w:t>
            </w:r>
          </w:p>
          <w:p>
            <w:pPr>
              <w:spacing w:after="40" w:before="0" w:line="252" w:lineRule="auto"/>
            </w:pPr>
            <w:r>
              <w:rPr>
                <w:rFonts w:ascii="Calibri" w:hAnsi="Calibri"/>
                <w:b/>
                <w:color w:val="1F4D78"/>
                <w:sz w:val="16"/>
              </w:rPr>
              <w:t>RECOVERED</w:t>
            </w:r>
          </w:p>
          <w:p>
            <w:pPr>
              <w:spacing w:after="40" w:before="0" w:line="252" w:lineRule="auto"/>
            </w:pPr>
            <w:r>
              <w:rPr>
                <w:rFonts w:ascii="Calibri" w:hAnsi="Calibri"/>
                <w:color w:val="5F6B75"/>
                <w:sz w:val="17"/>
              </w:rPr>
              <w:t>OTC - Equities</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2026-07-10 to 2026-07-14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$83.33, exit $81.45, -$301, -1.00R;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$89.41, +7.3% vs. entry. Maximum high through the as-of date: +7.3%; maximum within the first 20 post-exit sessions: +7.3%.</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+0.69R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2026-07-16 at $83.56; next-10-session maximum +6.5%, drawdown -2.5%;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UPRO</w:t>
            </w:r>
          </w:p>
          <w:p>
            <w:pPr>
              <w:spacing w:after="40" w:before="0" w:line="252" w:lineRule="auto"/>
            </w:pPr>
            <w:r>
              <w:rPr>
                <w:rFonts w:ascii="Calibri" w:hAnsi="Calibri"/>
                <w:b/>
                <w:color w:val="1F4D78"/>
                <w:sz w:val="16"/>
              </w:rPr>
              <w:t>RECOVERED</w:t>
            </w:r>
          </w:p>
          <w:p>
            <w:pPr>
              <w:spacing w:after="40" w:before="0" w:line="252" w:lineRule="auto"/>
            </w:pPr>
            <w:r>
              <w:rPr>
                <w:rFonts w:ascii="Calibri" w:hAnsi="Calibri"/>
                <w:color w:val="5F6B75"/>
                <w:sz w:val="17"/>
              </w:rPr>
              <w:t>No Trade Setup</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2026-07-10 to 2026-07-17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$144.36, exit $138.70, -$198, -0.71R; stated risk $280.</w:t>
            </w:r>
          </w:p>
          <w:p>
            <w:pPr>
              <w:spacing w:after="40" w:line="252" w:lineRule="auto" w:before="0"/>
            </w:pPr>
            <w:r>
              <w:rPr>
                <w:rFonts w:ascii="Calibri" w:hAnsi="Calibri"/>
                <w:b/>
                <w:color w:val="203748"/>
                <w:sz w:val="18"/>
              </w:rPr>
              <w:t xml:space="preserve">Subsequent outcome. </w:t>
            </w:r>
            <w:r>
              <w:rPr>
                <w:rFonts w:ascii="Calibri" w:hAnsi="Calibri"/>
                <w:sz w:val="18"/>
              </w:rPr>
              <w:t>As of 2026-08-10: $154.98, +7.4% vs. entry. Maximum high through the as-of date: +9.1%; maximum within the first 20 post-exit sessions: +9.1%.</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2026-08-03 at $146.32; next-10-session maximum +7.6%, drawdown +1.1%;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MDT</w:t>
            </w:r>
          </w:p>
          <w:p>
            <w:pPr>
              <w:spacing w:after="40" w:before="0" w:line="252" w:lineRule="auto"/>
            </w:pPr>
            <w:r>
              <w:rPr>
                <w:rFonts w:ascii="Calibri" w:hAnsi="Calibri"/>
                <w:b/>
                <w:color w:val="1F4D78"/>
                <w:sz w:val="16"/>
              </w:rPr>
              <w:t>RECOVERED</w:t>
            </w:r>
          </w:p>
          <w:p>
            <w:pPr>
              <w:spacing w:after="40" w:before="0" w:line="252" w:lineRule="auto"/>
            </w:pPr>
            <w:r>
              <w:rPr>
                <w:rFonts w:ascii="Calibri" w:hAnsi="Calibri"/>
                <w:color w:val="5F6B75"/>
                <w:sz w:val="17"/>
              </w:rPr>
              <w:t>OTC - Equities</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2026-07-09 to 2026-07-10</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$82.64, exit $82.69, $8, +0.03R; stated risk $269.</w:t>
            </w:r>
          </w:p>
          <w:p>
            <w:pPr>
              <w:spacing w:after="40" w:line="252" w:lineRule="auto" w:before="0"/>
            </w:pPr>
            <w:r>
              <w:rPr>
                <w:rFonts w:ascii="Calibri" w:hAnsi="Calibri"/>
                <w:b/>
                <w:color w:val="203748"/>
                <w:sz w:val="18"/>
              </w:rPr>
              <w:t xml:space="preserve">Subsequent outcome. </w:t>
            </w:r>
            <w:r>
              <w:rPr>
                <w:rFonts w:ascii="Calibri" w:hAnsi="Calibri"/>
                <w:sz w:val="18"/>
              </w:rPr>
              <w:t>As of 2026-08-10: $89.41, +8.2% vs. entry. Maximum high through the as-of date: +8.2%; maximum within the first 20 post-exit sessions: +7.7%.</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+0.60R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2026-07-16 at $83.56; next-10-session maximum +6.5%, drawdown -2.5%; successful by the +2 ATR before -1 ATR test.</w:t>
            </w:r>
          </w:p>
        </w:tc>
      </w:tr>
    </w:tbl>
    <w:p>
      <w:pPr>
        <w:spacing w:after="40"/>
      </w:pPr>
    </w:p>
    <w:p>
      <w:pPr>
        <w:pStyle w:val="Heading2"/>
        <w:keepNext/>
        <w:keepLines/>
        <w:pageBreakBefore/>
      </w:pPr>
      <w:r>
        <w:t>Other Equity-Long Trades (17)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MDT</w:t>
            </w:r>
          </w:p>
          <w:p>
            <w:pPr>
              <w:spacing w:after="40" w:before="0" w:line="252" w:lineRule="auto"/>
            </w:pPr>
            <w:r>
              <w:rPr>
                <w:rFonts w:ascii="Calibri" w:hAnsi="Calibri"/>
                <w:b/>
                <w:color w:val="1F4D78"/>
                <w:sz w:val="16"/>
              </w:rPr>
              <w:t>RECOVERED</w:t>
            </w:r>
          </w:p>
          <w:p>
            <w:pPr>
              <w:spacing w:after="40" w:before="0" w:line="252" w:lineRule="auto"/>
            </w:pPr>
            <w:r>
              <w:rPr>
                <w:rFonts w:ascii="Calibri" w:hAnsi="Calibri"/>
                <w:color w:val="5F6B75"/>
                <w:sz w:val="17"/>
              </w:rPr>
              <w:t>OTC - Equities</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2026-07-02 to 2026-07-08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$82.39, exit $82.45, $10, +0.03R;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$89.41, +8.5% vs. entry. Maximum high through the as-of date: +8.6%; maximum within the first 20 post-exit sessions: +8.0%.</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+0.58R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2026-07-10 at $83.87; next-10-session maximum +1.1%, drawdown -5.8%; failed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BABA</w:t>
            </w:r>
          </w:p>
          <w:p>
            <w:pPr>
              <w:spacing w:after="40" w:before="0" w:line="252" w:lineRule="auto"/>
            </w:pPr>
            <w:r>
              <w:rPr>
                <w:rFonts w:ascii="Calibri" w:hAnsi="Calibri"/>
                <w:b/>
                <w:color w:val="1B6B45"/>
                <w:sz w:val="16"/>
              </w:rPr>
              <w:t>CLEAR SHAKEOUT</w:t>
            </w:r>
          </w:p>
          <w:p>
            <w:pPr>
              <w:spacing w:after="40" w:before="0" w:line="252" w:lineRule="auto"/>
            </w:pPr>
            <w:r>
              <w:rPr>
                <w:rFonts w:ascii="Calibri" w:hAnsi="Calibri"/>
                <w:color w:val="5F6B75"/>
                <w:sz w:val="17"/>
              </w:rPr>
              <w:t>OTC - Equities</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2026-06-16 to 2026-06-23</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$109.54, exit $102.26, -$320, -1.07R; stated risk $299.</w:t>
            </w:r>
          </w:p>
          <w:p>
            <w:pPr>
              <w:spacing w:after="40" w:line="252" w:lineRule="auto" w:before="0"/>
            </w:pPr>
            <w:r>
              <w:rPr>
                <w:rFonts w:ascii="Calibri" w:hAnsi="Calibri"/>
                <w:b/>
                <w:color w:val="203748"/>
                <w:sz w:val="18"/>
              </w:rPr>
              <w:t xml:space="preserve">Subsequent outcome. </w:t>
            </w:r>
            <w:r>
              <w:rPr>
                <w:rFonts w:ascii="Calibri" w:hAnsi="Calibri"/>
                <w:sz w:val="18"/>
              </w:rPr>
              <w:t>As of 2026-08-10: $132.32, +20.8% vs. entry. Maximum high through the as-of date: +21.0%; maximum within the first 20 post-exit sessions: +11.2%.</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2026-07-09 at $111.14; next-10-session maximum +9.6%, drawdown +0.1%; successful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NOC</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B</w:t>
            </w:r>
          </w:p>
          <w:p>
            <w:pPr>
              <w:spacing w:after="40" w:before="0" w:line="252" w:lineRule="auto"/>
            </w:pPr>
            <w:r>
              <w:rPr>
                <w:rFonts w:ascii="Calibri" w:hAnsi="Calibri"/>
                <w:color w:val="5F6B75"/>
                <w:sz w:val="17"/>
              </w:rPr>
              <w:t>2026-06-15 to 2026-06-18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$545.32, exit $531.43, -$278, -1.11R; stated risk $250.</w:t>
            </w:r>
          </w:p>
          <w:p>
            <w:pPr>
              <w:spacing w:after="40" w:line="252" w:lineRule="auto" w:before="0"/>
            </w:pPr>
            <w:r>
              <w:rPr>
                <w:rFonts w:ascii="Calibri" w:hAnsi="Calibri"/>
                <w:b/>
                <w:color w:val="203748"/>
                <w:sz w:val="18"/>
              </w:rPr>
              <w:t xml:space="preserve">Subsequent outcome. </w:t>
            </w:r>
            <w:r>
              <w:rPr>
                <w:rFonts w:ascii="Calibri" w:hAnsi="Calibri"/>
                <w:sz w:val="18"/>
              </w:rPr>
              <w:t>As of 2026-08-10: $577.89, +6.0% vs. entry. Maximum high through the as-of date: +6.7%; maximum within the first 20 post-exit sessions: +1.3%.</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2026-07-02 at $549.01; next-10-session maximum +0.7%, drawdown -5.8%; failed by the +2 ATR before -1 ATR test.</w:t>
            </w:r>
          </w:p>
        </w:tc>
      </w:tr>
    </w:tbl>
    <w:p>
      <w:pPr>
        <w:spacing w:after="40"/>
      </w:pPr>
    </w:p>
    <w:p>
      <w:pPr>
        <w:pStyle w:val="Heading2"/>
        <w:keepNext/>
        <w:keepLines/>
        <w:pageBreakBefore/>
      </w:pPr>
      <w:r>
        <w:t>Other Equity-Long Trades (17)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BSX</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2026-06-12 to 2026-06-17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$46.94, exit $45.63, -$128, -0.39R; stated risk $327.</w:t>
            </w:r>
          </w:p>
          <w:p>
            <w:pPr>
              <w:spacing w:after="40" w:line="252" w:lineRule="auto" w:before="0"/>
            </w:pPr>
            <w:r>
              <w:rPr>
                <w:rFonts w:ascii="Calibri" w:hAnsi="Calibri"/>
                <w:b/>
                <w:color w:val="203748"/>
                <w:sz w:val="18"/>
              </w:rPr>
              <w:t xml:space="preserve">Subsequent outcome. </w:t>
            </w:r>
            <w:r>
              <w:rPr>
                <w:rFonts w:ascii="Calibri" w:hAnsi="Calibri"/>
                <w:sz w:val="18"/>
              </w:rPr>
              <w:t>As of 2026-08-10: $50.46, +7.5% vs. entry. Maximum high through the as-of date: +8.3%; maximum within the first 20 post-exit sessions: -1.2%.</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2026-07-02 at $45.14; next-10-session maximum +2.7%, drawdown -6.5%.</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ORCL</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2026-06-11 to 2026-06-23</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$183.30, exit $168.19, -$363, -1.10R; stated risk $330.</w:t>
            </w:r>
          </w:p>
          <w:p>
            <w:pPr>
              <w:spacing w:after="40" w:line="252" w:lineRule="auto" w:before="0"/>
            </w:pPr>
            <w:r>
              <w:rPr>
                <w:rFonts w:ascii="Calibri" w:hAnsi="Calibri"/>
                <w:b/>
                <w:color w:val="203748"/>
                <w:sz w:val="18"/>
              </w:rPr>
              <w:t xml:space="preserve">Subsequent outcome. </w:t>
            </w:r>
            <w:r>
              <w:rPr>
                <w:rFonts w:ascii="Calibri" w:hAnsi="Calibri"/>
                <w:sz w:val="18"/>
              </w:rPr>
              <w:t>As of 2026-08-10: $151.05, -17.6% vs. entry. Maximum high through the as-of date: -9.6%; maximum within the first 20 post-exit sessions: -9.6%.</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tested re-entry signal appeared within 20 trading sessions after exit.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ORCL</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2026-06-11 to 2026-06-11</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$179.81, exit $177.80, -$24, -0.08R;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$151.05, -16.0% vs. entry. Maximum high through the as-of date: +8.6%; maximum within the first 20 post-exit sessions: +8.6%.</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exit-day-high break on 2026-06-15 at $192.64; next-10-session maximum +1.4%, drawdown -25.0%.</w:t>
            </w:r>
          </w:p>
        </w:tc>
      </w:tr>
    </w:tbl>
    <w:p>
      <w:pPr>
        <w:spacing w:after="40"/>
      </w:pPr>
    </w:p>
    <w:p>
      <w:pPr>
        <w:pStyle w:val="Heading2"/>
        <w:keepNext/>
        <w:keepLines/>
        <w:pageBreakBefore/>
      </w:pPr>
      <w:r>
        <w:t>Other Equity-Long Trades (17)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UPS</w:t>
            </w:r>
          </w:p>
          <w:p>
            <w:pPr>
              <w:spacing w:after="40" w:before="0" w:line="252" w:lineRule="auto"/>
            </w:pPr>
            <w:r>
              <w:rPr>
                <w:rFonts w:ascii="Calibri" w:hAnsi="Calibri"/>
                <w:b/>
                <w:color w:val="7A5A00"/>
                <w:sz w:val="16"/>
              </w:rPr>
              <w:t>WORKED, THEN FADED</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Unscored</w:t>
            </w:r>
          </w:p>
          <w:p>
            <w:pPr>
              <w:spacing w:after="40" w:before="0" w:line="252" w:lineRule="auto"/>
            </w:pPr>
            <w:r>
              <w:rPr>
                <w:rFonts w:ascii="Calibri" w:hAnsi="Calibri"/>
                <w:color w:val="5F6B75"/>
                <w:sz w:val="17"/>
              </w:rPr>
              <w:t>2026-06-11 to 2026-06-17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BREAKEVEN; entry $105.67, exit $105.66, -$0, -0.00R; stated risk $150.</w:t>
            </w:r>
          </w:p>
          <w:p>
            <w:pPr>
              <w:spacing w:after="40" w:line="252" w:lineRule="auto" w:before="0"/>
            </w:pPr>
            <w:r>
              <w:rPr>
                <w:rFonts w:ascii="Calibri" w:hAnsi="Calibri"/>
                <w:b/>
                <w:color w:val="203748"/>
                <w:sz w:val="18"/>
              </w:rPr>
              <w:t xml:space="preserve">Subsequent outcome. </w:t>
            </w:r>
            <w:r>
              <w:rPr>
                <w:rFonts w:ascii="Calibri" w:hAnsi="Calibri"/>
                <w:sz w:val="18"/>
              </w:rPr>
              <w:t>As of 2026-08-10: $104.72, -0.9% vs. entry. Maximum high through the as-of date: +12.1%; maximum within the first 20 post-exit sessions: +12.1%.</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+0.95R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2026-06-22 at $107.24; next-10-session maximum +4.7%, drawdown -4.1%; failed by the +2 ATR before -1 ATR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EGO</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2026-06-10 to 2026-06-18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$29.09, exit $33.19, $394, +1.31R; stated risk $300.</w:t>
            </w:r>
          </w:p>
          <w:p>
            <w:pPr>
              <w:spacing w:after="40" w:line="252" w:lineRule="auto" w:before="0"/>
            </w:pPr>
            <w:r>
              <w:rPr>
                <w:rFonts w:ascii="Calibri" w:hAnsi="Calibri"/>
                <w:b/>
                <w:color w:val="203748"/>
                <w:sz w:val="18"/>
              </w:rPr>
              <w:t xml:space="preserve">Subsequent outcome. </w:t>
            </w:r>
            <w:r>
              <w:rPr>
                <w:rFonts w:ascii="Calibri" w:hAnsi="Calibri"/>
                <w:sz w:val="18"/>
              </w:rPr>
              <w:t>As of 2026-08-10: $39.10, +34.4% vs. entry. Maximum high through the as-of date: +36.0%; maximum within the first 20 post-exit sessions: +18.8%.</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+0.30R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COST</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Unscored</w:t>
            </w:r>
          </w:p>
          <w:p>
            <w:pPr>
              <w:spacing w:after="40" w:before="0" w:line="252" w:lineRule="auto"/>
            </w:pPr>
            <w:r>
              <w:rPr>
                <w:rFonts w:ascii="Calibri" w:hAnsi="Calibri"/>
                <w:color w:val="5F6B75"/>
                <w:sz w:val="17"/>
              </w:rPr>
              <w:t>2026-06-08 to 2026-06-09</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$973.50, exit $968.00, -$44, -0.44R; stated risk $99.</w:t>
            </w:r>
          </w:p>
          <w:p>
            <w:pPr>
              <w:spacing w:after="40" w:line="252" w:lineRule="auto" w:before="0"/>
            </w:pPr>
            <w:r>
              <w:rPr>
                <w:rFonts w:ascii="Calibri" w:hAnsi="Calibri"/>
                <w:b/>
                <w:color w:val="203748"/>
                <w:sz w:val="18"/>
              </w:rPr>
              <w:t xml:space="preserve">Subsequent outcome. </w:t>
            </w:r>
            <w:r>
              <w:rPr>
                <w:rFonts w:ascii="Calibri" w:hAnsi="Calibri"/>
                <w:sz w:val="18"/>
              </w:rPr>
              <w:t>As of 2026-08-10: $952.75, -2.1% vs. entry. Maximum high through the as-of date: +2.2%; maximum within the first 20 post-exit sessions: +2.2%.</w:t>
            </w:r>
          </w:p>
          <w:p>
            <w:pPr>
              <w:spacing w:after="40" w:line="252" w:lineRule="auto" w:before="0"/>
            </w:pPr>
            <w:r>
              <w:rPr>
                <w:rFonts w:ascii="Calibri" w:hAnsi="Calibri"/>
                <w:b/>
                <w:color w:val="203748"/>
                <w:sz w:val="18"/>
              </w:rPr>
              <w:t xml:space="preserve">Staying in. </w:t>
            </w:r>
            <w:r>
              <w:rPr>
                <w:rFonts w:ascii="Calibri" w:hAnsi="Calibri"/>
                <w:sz w:val="18"/>
              </w:rPr>
              <w:t>Neither the 2.5 ATR stop nor +2 ATR objective resolved within 20 sessions; standardized 20-session result -0.32R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2026-06-10 at $983.37; next-10-session maximum +1.2%, drawdown -4.6%; failed by the +2 ATR before -1 ATR test.</w:t>
            </w:r>
          </w:p>
        </w:tc>
      </w:tr>
    </w:tbl>
    <w:p>
      <w:pPr>
        <w:spacing w:after="40"/>
      </w:pPr>
    </w:p>
    <w:p>
      <w:pPr>
        <w:pStyle w:val="Heading2"/>
        <w:keepNext/>
        <w:keepLines/>
        <w:pageBreakBefore/>
      </w:pPr>
      <w:r>
        <w:t>Other Equity-Long Trades (17)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LOW</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2026-06-08 to 2026-06-17</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$214.04, exit $220.00, $346, +1.26R; stated risk $275.</w:t>
            </w:r>
          </w:p>
          <w:p>
            <w:pPr>
              <w:spacing w:after="40" w:line="252" w:lineRule="auto" w:before="0"/>
            </w:pPr>
            <w:r>
              <w:rPr>
                <w:rFonts w:ascii="Calibri" w:hAnsi="Calibri"/>
                <w:b/>
                <w:color w:val="203748"/>
                <w:sz w:val="18"/>
              </w:rPr>
              <w:t xml:space="preserve">Subsequent outcome. </w:t>
            </w:r>
            <w:r>
              <w:rPr>
                <w:rFonts w:ascii="Calibri" w:hAnsi="Calibri"/>
                <w:sz w:val="18"/>
              </w:rPr>
              <w:t>As of 2026-08-10: $218.88, +2.3% vs. entry. Maximum high through the as-of date: +6.9%; maximum within the first 20 post-exit sessions: +6.9%.</w:t>
            </w:r>
          </w:p>
          <w:p>
            <w:pPr>
              <w:spacing w:after="40" w:line="252" w:lineRule="auto" w:before="0"/>
            </w:pPr>
            <w:r>
              <w:rPr>
                <w:rFonts w:ascii="Calibri" w:hAnsi="Calibri"/>
                <w:b/>
                <w:color w:val="203748"/>
                <w:sz w:val="18"/>
              </w:rPr>
              <w:t xml:space="preserve">Staying in. </w:t>
            </w:r>
            <w:r>
              <w:rPr>
                <w:rFonts w:ascii="Calibri" w:hAnsi="Calibri"/>
                <w:sz w:val="18"/>
              </w:rPr>
              <w:t>A 2.5 ATR hard stop survived long enough for price to reach +2 ATR; standardized 20-session result -0.08R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NVO</w:t>
            </w:r>
          </w:p>
          <w:p>
            <w:pPr>
              <w:spacing w:after="40" w:before="0" w:line="252" w:lineRule="auto"/>
            </w:pPr>
            <w:r>
              <w:rPr>
                <w:rFonts w:ascii="Calibri" w:hAnsi="Calibri"/>
                <w:b/>
                <w:color w:val="7A5A00"/>
                <w:sz w:val="16"/>
              </w:rPr>
              <w:t>DATA MISMATCH</w:t>
            </w:r>
          </w:p>
          <w:p>
            <w:pPr>
              <w:spacing w:after="40" w:before="0" w:line="252" w:lineRule="auto"/>
            </w:pPr>
            <w:r>
              <w:rPr>
                <w:rFonts w:ascii="Calibri" w:hAnsi="Calibri"/>
                <w:color w:val="5F6B75"/>
                <w:sz w:val="17"/>
              </w:rPr>
              <w:t>OTC - Equities</w:t>
            </w:r>
          </w:p>
          <w:p>
            <w:pPr>
              <w:spacing w:after="40" w:before="0" w:line="252" w:lineRule="auto"/>
            </w:pPr>
            <w:r>
              <w:rPr>
                <w:rFonts w:ascii="Calibri" w:hAnsi="Calibri"/>
                <w:color w:val="5F6B75"/>
                <w:sz w:val="17"/>
              </w:rPr>
              <w:t>Grade A+</w:t>
            </w:r>
          </w:p>
          <w:p>
            <w:pPr>
              <w:spacing w:after="40" w:before="0" w:line="252" w:lineRule="auto"/>
            </w:pPr>
            <w:r>
              <w:rPr>
                <w:rFonts w:ascii="Calibri" w:hAnsi="Calibri"/>
                <w:color w:val="5F6B75"/>
                <w:sz w:val="17"/>
              </w:rPr>
              <w:t>2026-06-08 to 2026-07-20</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$47.17, exit $49.12, $731, +2.81R; stated risk $260.</w:t>
            </w:r>
          </w:p>
          <w:p>
            <w:pPr>
              <w:spacing w:after="40" w:line="252" w:lineRule="auto" w:before="0"/>
            </w:pPr>
            <w:r>
              <w:rPr>
                <w:rFonts w:ascii="Calibri" w:hAnsi="Calibri"/>
                <w:b/>
                <w:color w:val="203748"/>
                <w:sz w:val="18"/>
              </w:rPr>
              <w:t xml:space="preserve">Subsequent outcome. </w:t>
            </w:r>
            <w:r>
              <w:rPr>
                <w:rFonts w:ascii="Calibri" w:hAnsi="Calibri"/>
                <w:sz w:val="18"/>
              </w:rPr>
              <w:t>FMP price-sensitive outcome excluded due to entry-price mismatch.</w:t>
            </w:r>
          </w:p>
          <w:p>
            <w:pPr>
              <w:spacing w:after="40" w:line="252" w:lineRule="auto" w:before="0"/>
            </w:pPr>
            <w:r>
              <w:rPr>
                <w:rFonts w:ascii="Calibri" w:hAnsi="Calibri"/>
                <w:b/>
                <w:color w:val="203748"/>
                <w:sz w:val="18"/>
              </w:rPr>
              <w:t xml:space="preserve">Staying in. </w:t>
            </w:r>
            <w:r>
              <w:rPr>
                <w:rFonts w:ascii="Calibri" w:hAnsi="Calibri"/>
                <w:sz w:val="18"/>
              </w:rPr>
              <w:t>Stay-in comparison excluded because the entry price did not align with FMP's same-day range.</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NOC</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Unscored</w:t>
            </w:r>
          </w:p>
          <w:p>
            <w:pPr>
              <w:spacing w:after="40" w:before="0" w:line="252" w:lineRule="auto"/>
            </w:pPr>
            <w:r>
              <w:rPr>
                <w:rFonts w:ascii="Calibri" w:hAnsi="Calibri"/>
                <w:color w:val="5F6B75"/>
                <w:sz w:val="17"/>
              </w:rPr>
              <w:t>2026-06-05 to 2026-06-15</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$545.26, exit $539.87, -$157, -0.55R; stated risk $285.</w:t>
            </w:r>
          </w:p>
          <w:p>
            <w:pPr>
              <w:spacing w:after="40" w:line="252" w:lineRule="auto" w:before="0"/>
            </w:pPr>
            <w:r>
              <w:rPr>
                <w:rFonts w:ascii="Calibri" w:hAnsi="Calibri"/>
                <w:b/>
                <w:color w:val="203748"/>
                <w:sz w:val="18"/>
              </w:rPr>
              <w:t xml:space="preserve">Subsequent outcome. </w:t>
            </w:r>
            <w:r>
              <w:rPr>
                <w:rFonts w:ascii="Calibri" w:hAnsi="Calibri"/>
                <w:sz w:val="18"/>
              </w:rPr>
              <w:t>As of 2026-08-10: $577.89, +6.0% vs. entry. Maximum high through the as-of date: +6.7%; maximum within the first 20 post-exit sessions: +2.5%.</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Primary entry reclaim: 2026-06-16 at $551.21; next-10-session maximum +1.4%, drawdown -10.4%; failed by the +2 ATR before -1 ATR test.</w:t>
            </w:r>
          </w:p>
        </w:tc>
      </w:tr>
    </w:tbl>
    <w:p>
      <w:pPr>
        <w:spacing w:after="40"/>
      </w:pPr>
    </w:p>
    <w:p>
      <w:pPr>
        <w:pStyle w:val="Heading2"/>
        <w:keepNext/>
        <w:keepLines/>
        <w:pageBreakBefore/>
      </w:pPr>
      <w:r>
        <w:t>Other Equity-Long Trades (17) (continued)</w:t>
      </w:r>
    </w:p>
    <w:tbl>
      <w:tblPr>
        <w:tblStyle w:val="TableGrid"/>
        <w:tblW w:type="dxa" w:w="9360"/>
        <w:jc w:val="left"/>
        <w:tblLayout w:type="fixed"/>
        <w:tblLook w:firstColumn="1" w:firstRow="1" w:lastColumn="0" w:lastRow="0" w:noHBand="0" w:noVBand="1" w:val="04A0"/>
        <w:tblInd w:type="dxa" w:w="120"/>
      </w:tblPr>
      <w:tblGrid>
        <w:gridCol w:w="1800"/>
        <w:gridCol w:w="7560"/>
      </w:tblGrid>
      <w:tr>
        <w:trPr>
          <w:tblHeader w:val="true"/>
        </w:trPr>
        <w:tc>
          <w:tcPr>
            <w:tcW w:type="dxa" w:w="180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TRADE</w:t>
            </w:r>
          </w:p>
        </w:tc>
        <w:tc>
          <w:tcPr>
            <w:tcW w:type="dxa" w:w="7560"/>
            <w:vAlign w:val="center"/>
            <w:shd w:fill="F2F4F7"/>
            <w:tcMar>
              <w:top w:w="100" w:type="dxa"/>
              <w:bottom w:w="100" w:type="dxa"/>
              <w:start w:w="120" w:type="dxa"/>
              <w:end w:w="120" w:type="dxa"/>
            </w:tcMar>
          </w:tcPr>
          <w:p>
            <w:pPr>
              <w:spacing w:before="0" w:after="0" w:line="252" w:lineRule="auto"/>
              <w:jc w:val="left"/>
            </w:pPr>
            <w:r/>
            <w:r>
              <w:rPr>
                <w:rFonts w:ascii="Calibri" w:hAnsi="Calibri"/>
                <w:b/>
                <w:color w:val="203748"/>
                <w:sz w:val="18"/>
              </w:rPr>
              <w:t>OUTCOME AND RULE TEST</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T</w:t>
            </w:r>
          </w:p>
          <w:p>
            <w:pPr>
              <w:spacing w:after="40" w:before="0" w:line="252" w:lineRule="auto"/>
            </w:pPr>
            <w:r>
              <w:rPr>
                <w:rFonts w:ascii="Calibri" w:hAnsi="Calibri"/>
                <w:b/>
                <w:color w:val="9B1C1C"/>
                <w:sz w:val="16"/>
              </w:rPr>
              <w:t>NO MATERIAL RECOVERY</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Unscored</w:t>
            </w:r>
          </w:p>
          <w:p>
            <w:pPr>
              <w:spacing w:after="40" w:before="0" w:line="252" w:lineRule="auto"/>
            </w:pPr>
            <w:r>
              <w:rPr>
                <w:rFonts w:ascii="Calibri" w:hAnsi="Calibri"/>
                <w:color w:val="5F6B75"/>
                <w:sz w:val="17"/>
              </w:rPr>
              <w:t>2026-06-03 to 2026-06-04</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LOSS; entry $23.78, exit $23.45, -$113, -0.41R; stated risk $275.</w:t>
            </w:r>
          </w:p>
          <w:p>
            <w:pPr>
              <w:spacing w:after="40" w:line="252" w:lineRule="auto" w:before="0"/>
            </w:pPr>
            <w:r>
              <w:rPr>
                <w:rFonts w:ascii="Calibri" w:hAnsi="Calibri"/>
                <w:b/>
                <w:color w:val="203748"/>
                <w:sz w:val="18"/>
              </w:rPr>
              <w:t xml:space="preserve">Subsequent outcome. </w:t>
            </w:r>
            <w:r>
              <w:rPr>
                <w:rFonts w:ascii="Calibri" w:hAnsi="Calibri"/>
                <w:sz w:val="18"/>
              </w:rPr>
              <w:t>As of 2026-08-10: $24.05, +1.1% vs. entry. Maximum high through the as-of date: +6.5%; maximum within the first 20 post-exit sessions: -0.7%.</w:t>
            </w:r>
          </w:p>
          <w:p>
            <w:pPr>
              <w:spacing w:after="40" w:line="252" w:lineRule="auto" w:before="0"/>
            </w:pPr>
            <w:r>
              <w:rPr>
                <w:rFonts w:ascii="Calibri" w:hAnsi="Calibri"/>
                <w:b/>
                <w:color w:val="203748"/>
                <w:sz w:val="18"/>
              </w:rPr>
              <w:t xml:space="preserve">Staying in. </w:t>
            </w:r>
            <w:r>
              <w:rPr>
                <w:rFonts w:ascii="Calibri" w:hAnsi="Calibri"/>
                <w:sz w:val="18"/>
              </w:rPr>
              <w:t>Even a 2.5 ATR hard stop was hit before price reached +2 ATR; standardized 20-session result -1.00R at fixed dollar risk.</w:t>
            </w:r>
          </w:p>
          <w:p>
            <w:pPr>
              <w:spacing w:after="40" w:line="252" w:lineRule="auto" w:before="0"/>
            </w:pPr>
            <w:r>
              <w:rPr>
                <w:rFonts w:ascii="Calibri" w:hAnsi="Calibri"/>
                <w:b/>
                <w:color w:val="203748"/>
                <w:sz w:val="18"/>
              </w:rPr>
              <w:t xml:space="preserve">Getting back in. </w:t>
            </w:r>
            <w:r>
              <w:rPr>
                <w:rFonts w:ascii="Calibri" w:hAnsi="Calibri"/>
                <w:sz w:val="18"/>
              </w:rPr>
              <w:t>No original-entry reclaim. Earliest secondary signal: 10-day moving-average reclaim on 2026-06-12 at $23.58; next-10-session maximum -0.3%, drawdown -9.8%.</w:t>
            </w:r>
          </w:p>
        </w:tc>
      </w:tr>
      <w:tr>
        <w:trPr>
          <w:cantSplit/>
        </w:trPr>
        <w:tc>
          <w:tcPr>
            <w:tcW w:type="dxa" w:w="1800"/>
            <w:vAlign w:val="center"/>
            <w:tcMar>
              <w:top w:w="100" w:type="dxa"/>
              <w:bottom w:w="100" w:type="dxa"/>
              <w:start w:w="120" w:type="dxa"/>
              <w:end w:w="120" w:type="dxa"/>
            </w:tcMar>
          </w:tcPr>
          <w:p>
            <w:pPr>
              <w:spacing w:after="40" w:before="0" w:line="252" w:lineRule="auto"/>
            </w:pPr>
            <w:r/>
            <w:r>
              <w:rPr>
                <w:rFonts w:ascii="Calibri" w:hAnsi="Calibri"/>
                <w:b/>
                <w:color w:val="203748"/>
                <w:sz w:val="24"/>
              </w:rPr>
              <w:t>COST</w:t>
            </w:r>
          </w:p>
          <w:p>
            <w:pPr>
              <w:spacing w:after="40" w:before="0" w:line="252" w:lineRule="auto"/>
            </w:pPr>
            <w:r>
              <w:rPr>
                <w:rFonts w:ascii="Calibri" w:hAnsi="Calibri"/>
                <w:b/>
                <w:color w:val="1B6B45"/>
                <w:sz w:val="16"/>
              </w:rPr>
              <w:t>ORIGINAL WIN</w:t>
            </w:r>
          </w:p>
          <w:p>
            <w:pPr>
              <w:spacing w:after="40" w:before="0" w:line="252" w:lineRule="auto"/>
            </w:pPr>
            <w:r>
              <w:rPr>
                <w:rFonts w:ascii="Calibri" w:hAnsi="Calibri"/>
                <w:color w:val="5F6B75"/>
                <w:sz w:val="17"/>
              </w:rPr>
              <w:t>OTC</w:t>
            </w:r>
          </w:p>
          <w:p>
            <w:pPr>
              <w:spacing w:after="40" w:before="0" w:line="252" w:lineRule="auto"/>
            </w:pPr>
            <w:r>
              <w:rPr>
                <w:rFonts w:ascii="Calibri" w:hAnsi="Calibri"/>
                <w:color w:val="5F6B75"/>
                <w:sz w:val="17"/>
              </w:rPr>
              <w:t>Grade C</w:t>
            </w:r>
          </w:p>
          <w:p>
            <w:pPr>
              <w:spacing w:after="40" w:before="0" w:line="252" w:lineRule="auto"/>
            </w:pPr>
            <w:r>
              <w:rPr>
                <w:rFonts w:ascii="Calibri" w:hAnsi="Calibri"/>
                <w:color w:val="5F6B75"/>
                <w:sz w:val="17"/>
              </w:rPr>
              <w:t>2026-06-02 to 2026-06-08</w:t>
            </w:r>
          </w:p>
        </w:tc>
        <w:tc>
          <w:tcPr>
            <w:tcW w:type="dxa" w:w="7560"/>
            <w:vAlign w:val="center"/>
            <w:tcMar>
              <w:top w:w="100" w:type="dxa"/>
              <w:bottom w:w="100" w:type="dxa"/>
              <w:start w:w="120" w:type="dxa"/>
              <w:end w:w="120" w:type="dxa"/>
            </w:tcMar>
          </w:tcPr>
          <w:p>
            <w:pPr>
              <w:spacing w:after="40" w:before="0" w:line="252" w:lineRule="auto"/>
            </w:pPr>
            <w:r/>
            <w:r>
              <w:rPr>
                <w:rFonts w:ascii="Calibri" w:hAnsi="Calibri"/>
                <w:b/>
                <w:color w:val="203748"/>
                <w:sz w:val="18"/>
              </w:rPr>
              <w:t xml:space="preserve">Journal outcome. </w:t>
            </w:r>
            <w:r>
              <w:rPr>
                <w:rFonts w:ascii="Calibri" w:hAnsi="Calibri"/>
                <w:sz w:val="18"/>
              </w:rPr>
              <w:t>WIN; entry $955.22, exit $971.45, $390, +1.37R; stated risk $285.</w:t>
            </w:r>
          </w:p>
          <w:p>
            <w:pPr>
              <w:spacing w:after="40" w:line="252" w:lineRule="auto" w:before="0"/>
            </w:pPr>
            <w:r>
              <w:rPr>
                <w:rFonts w:ascii="Calibri" w:hAnsi="Calibri"/>
                <w:b/>
                <w:color w:val="203748"/>
                <w:sz w:val="18"/>
              </w:rPr>
              <w:t xml:space="preserve">Subsequent outcome. </w:t>
            </w:r>
            <w:r>
              <w:rPr>
                <w:rFonts w:ascii="Calibri" w:hAnsi="Calibri"/>
                <w:sz w:val="18"/>
              </w:rPr>
              <w:t>As of 2026-08-10: $952.75, -0.3% vs. entry. Maximum high through the as-of date: +4.2%; maximum within the first 20 post-exit sessions: +4.2%.</w:t>
            </w:r>
          </w:p>
          <w:p>
            <w:pPr>
              <w:spacing w:after="40" w:line="252" w:lineRule="auto" w:before="0"/>
            </w:pPr>
            <w:r>
              <w:rPr>
                <w:rFonts w:ascii="Calibri" w:hAnsi="Calibri"/>
                <w:b/>
                <w:color w:val="203748"/>
                <w:sz w:val="18"/>
              </w:rPr>
              <w:t xml:space="preserve">Staying in. </w:t>
            </w:r>
            <w:r>
              <w:rPr>
                <w:rFonts w:ascii="Calibri" w:hAnsi="Calibri"/>
                <w:sz w:val="18"/>
              </w:rPr>
              <w:t>Neither the 2.5 ATR stop nor +2 ATR objective resolved within 20 sessions; standardized 20-session result -0.48R at fixed dollar risk.</w:t>
            </w:r>
          </w:p>
          <w:p>
            <w:pPr>
              <w:spacing w:after="40" w:line="252" w:lineRule="auto" w:before="0"/>
            </w:pPr>
            <w:r>
              <w:rPr>
                <w:rFonts w:ascii="Calibri" w:hAnsi="Calibri"/>
                <w:b/>
                <w:color w:val="203748"/>
                <w:sz w:val="18"/>
              </w:rPr>
              <w:t xml:space="preserve">Getting back in. </w:t>
            </w:r>
            <w:r>
              <w:rPr>
                <w:rFonts w:ascii="Calibri" w:hAnsi="Calibri"/>
                <w:sz w:val="18"/>
              </w:rPr>
              <w:t>Re-entry was not the primary issue because the original trade closed as a win.</w:t>
            </w:r>
          </w:p>
        </w:tc>
      </w:tr>
    </w:tbl>
    <w:p>
      <w:pPr>
        <w:spacing w:after="40"/>
      </w:pPr>
    </w:p>
    <w:p>
      <w:pPr>
        <w:pStyle w:val="Heading1"/>
        <w:keepNext/>
        <w:keepLines/>
      </w:pPr>
      <w:r>
        <w:t>Limitations and Use</w:t>
      </w:r>
    </w:p>
    <w:p>
      <w:r>
        <w:rPr>
          <w:rFonts w:ascii="Calibri" w:hAnsi="Calibri"/>
          <w:sz w:val="22"/>
        </w:rPr>
        <w:t>This is a small and overlapping sample from one market period. Repeated entries in the same symbols reduce statistical independence. Daily bars do not show the exact intraday sequence of events, and hard-stop simulations assume fills at the stop price. The 20-session mark is a standardized comparison, not a complete sell strategy.</w:t>
      </w:r>
    </w:p>
    <w:p>
      <w:r>
        <w:rPr>
          <w:rFonts w:ascii="Calibri" w:hAnsi="Calibri"/>
          <w:sz w:val="22"/>
        </w:rPr>
        <w:t>The results support a controlled live trial rather than an immediate full-size policy change. A practical validation is to use half-normal account risk or paper tracking for the next 20 qualified CANSLIM trades, record both the old and new stop/re-entry decisions, and compare realized expectancy, maximum adverse excursion, and gain retention.</w:t>
      </w:r>
    </w:p>
    <w:p>
      <w:pPr>
        <w:pStyle w:val="Heading1"/>
        <w:keepNext/>
        <w:keepLines/>
      </w:pPr>
      <w:r>
        <w:t>Sources</w:t>
      </w:r>
    </w:p>
    <w:p>
      <w:pPr>
        <w:numPr>
          <w:ilvl w:val="0"/>
          <w:numId w:val="13"/>
        </w:numPr>
        <w:spacing w:after="160" w:line="280" w:lineRule="auto"/>
      </w:pPr>
      <w:r>
        <w:rPr>
          <w:rFonts w:ascii="Calibri" w:hAnsi="Calibri"/>
          <w:sz w:val="22"/>
        </w:rPr>
        <w:t>Branden trade-log export dated August 11, 2026, plus the richer journal table containing exact exits.</w:t>
      </w:r>
    </w:p>
    <w:p>
      <w:pPr>
        <w:numPr>
          <w:ilvl w:val="0"/>
          <w:numId w:val="13"/>
        </w:numPr>
        <w:spacing w:after="160" w:line="280" w:lineRule="auto"/>
      </w:pPr>
      <w:r>
        <w:rPr>
          <w:rFonts w:ascii="Calibri" w:hAnsi="Calibri"/>
          <w:sz w:val="22"/>
        </w:rPr>
        <w:t>Financial Modeling Prep historical-price-eod/full daily OHLCV data, retrieved for the relevant symbols through August 10, 2026. API credentials are not stored in this document.</w:t>
      </w:r>
    </w:p>
    <w:p>
      <w:r>
        <w:rPr>
          <w:rFonts w:ascii="Calibri" w:hAnsi="Calibri"/>
          <w:sz w:val="22"/>
        </w:rPr>
        <w:t>This report is trading-process research and decision support. It does not guarantee future performance and is not personalized investment advice.</w:t>
      </w:r>
    </w:p>
    <w:sectPr w:rsidR="00FC693F" w:rsidRPr="0006063C" w:rsidSect="00034616">
      <w:headerReference w:type="default" r:id="rId9"/>
      <w:footerReference w:type="default" r:id="rId10"/>
      <w:pgSz w:w="12240" w:h="15840"/>
      <w:pgMar w:top="1440" w:right="1440" w:bottom="1656"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
      <w:rPr>
        <w:rFonts w:ascii="Calibri" w:hAnsi="Calibri"/>
        <w:color w:val="5F6B75"/>
        <w:sz w:val="16"/>
      </w:rPr>
      <w:t xml:space="preserve">Branden CF Statement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
      <w:rPr>
        <w:rFonts w:ascii="Calibri" w:hAnsi="Calibri"/>
        <w:b/>
        <w:color w:val="5F6B75"/>
        <w:sz w:val="16"/>
      </w:rPr>
      <w:t>TRADE PROCESS RESEARCH  |  SHAKEOUT &amp; RE-ENTRY STUDY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720"/>
        </w:tabs>
        <w:ind w:left="720" w:hanging="360"/>
      </w:pPr>
    </w:lvl>
  </w:abstractNum>
  <w:num w:numId="10">
    <w:abstractNumId w:val="9"/>
  </w:num>
  <w:abstractNum w:abstractNumId="10">
    <w:multiLevelType w:val="singleLevel"/>
    <w:lvl w:ilvl="0">
      <w:start w:val="1"/>
      <w:numFmt w:val="decimal"/>
      <w:lvlText w:val="%1."/>
      <w:lvlJc w:val="left"/>
      <w:pPr>
        <w:tabs>
          <w:tab w:val="num" w:pos="720"/>
        </w:tabs>
        <w:ind w:left="720" w:hanging="360"/>
      </w:pPr>
    </w:lvl>
  </w:abstractNum>
  <w:num w:numId="11">
    <w:abstractNumId w:val="10"/>
  </w:num>
  <w:abstractNum w:abstractNumId="11">
    <w:multiLevelType w:val="singleLevel"/>
    <w:lvl w:ilvl="0">
      <w:start w:val="1"/>
      <w:numFmt w:val="decimal"/>
      <w:lvlText w:val="%1."/>
      <w:lvlJc w:val="left"/>
      <w:pPr>
        <w:tabs>
          <w:tab w:val="num" w:pos="720"/>
        </w:tabs>
        <w:ind w:left="720" w:hanging="360"/>
      </w:pPr>
    </w:lvl>
  </w:abstractNum>
  <w:num w:numId="12">
    <w:abstractNumId w:val="11"/>
  </w:num>
  <w:abstractNum w:abstractNumId="12">
    <w:multiLevelType w:val="singleLevel"/>
    <w:lvl w:ilvl="0">
      <w:start w:val="1"/>
      <w:numFmt w:val="bullet"/>
      <w:lvlText w:val="•"/>
      <w:lvlJc w:val="left"/>
      <w:pPr>
        <w:tabs>
          <w:tab w:val="num" w:pos="720"/>
        </w:tabs>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Shakeout and Re-entry Trade Study</dc:title>
  <dc:subject>June-to-date CF Statement trade analysis</dc:subject>
  <dc:creator>Branden</dc:creator>
  <cp:keywords>trading, shakeout, re-entry, ATR, CANSLIM</cp:keywords>
  <dc:description>generated by python-docx</dc:description>
  <cp:lastModifiedBy/>
  <cp:revision>1</cp:revision>
  <dcterms:created xsi:type="dcterms:W3CDTF">2013-12-23T23:15:00Z</dcterms:created>
  <dcterms:modified xsi:type="dcterms:W3CDTF">2013-12-23T23:15:00Z</dcterms:modified>
  <cp:category/>
</cp:coreProperties>
</file>