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D33E2C" w:rsidP="00F41DB9">
      <w:pPr>
        <w:pStyle w:val="Heading1"/>
      </w:pPr>
      <w:r>
        <w:t>DocSimilar</w:t>
      </w:r>
      <w:r w:rsidR="000473CF">
        <w:t xml:space="preserve"> constraint</w:t>
      </w:r>
    </w:p>
    <w:p w:rsidR="00F41DB9" w:rsidRDefault="00F41DB9"/>
    <w:p w:rsidR="009C6830" w:rsidRPr="009C6830" w:rsidRDefault="009C6830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Summary</w:t>
      </w:r>
    </w:p>
    <w:p w:rsidR="009C6830" w:rsidRPr="009C6830" w:rsidRDefault="009C6830" w:rsidP="009C6830">
      <w:pPr>
        <w:rPr>
          <w:lang w:val="en-US"/>
        </w:rPr>
      </w:pPr>
      <w:r>
        <w:rPr>
          <w:lang w:val="en-US"/>
        </w:rPr>
        <w:t>…</w:t>
      </w:r>
    </w:p>
    <w:p w:rsidR="009C6830" w:rsidRPr="009C6830" w:rsidRDefault="009C6830">
      <w:pPr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Pr="00340F16" w:rsidRDefault="000473CF">
      <w:pPr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D33E2C">
        <w:rPr>
          <w:rFonts w:ascii="Courier New" w:hAnsi="Courier New" w:cs="Courier New"/>
          <w:lang w:val="en-US"/>
        </w:rPr>
        <w:t>docSimilar</w:t>
      </w:r>
      <w:r w:rsidRPr="00340F16">
        <w:rPr>
          <w:rFonts w:ascii="Courier New" w:hAnsi="Courier New" w:cs="Courier New"/>
          <w:lang w:val="en-US"/>
        </w:rPr>
        <w:t>&gt;</w:t>
      </w:r>
    </w:p>
    <w:p w:rsidR="00340F16" w:rsidRPr="009C6830" w:rsidRDefault="00340F16">
      <w:pPr>
        <w:rPr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0473CF" w:rsidRDefault="007C2B07" w:rsidP="007C2B0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&lt;docSimilar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"..\executionSummary-reference.xml"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countTargetResources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countTargetResourcesMsg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"Reference document missing"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&lt;skipItem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kind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"element"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localName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"articleNumber"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&lt;skipItem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kind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"element"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localName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"timestamp"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&lt;skipItem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kind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"attribute"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localName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"fileSize"</w:t>
      </w:r>
      <w:r w:rsidRPr="007C2B07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parentLocalName</w:t>
      </w:r>
      <w:r w:rsidRPr="007C2B07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C2B0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"articleBook"</w:t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7C2B07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&lt;/docSimilar&gt;</w:t>
      </w:r>
      <w:r w:rsidRPr="007C2B0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1202CD" w:rsidRDefault="001202CD" w:rsidP="00340F16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CB656F" w:rsidRDefault="00D30C1D" w:rsidP="00147036">
      <w:pPr>
        <w:spacing w:after="0"/>
        <w:rPr>
          <w:lang w:val="en-US"/>
        </w:rPr>
      </w:pPr>
      <w:r>
        <w:rPr>
          <w:lang w:val="en-US"/>
        </w:rPr>
        <w:t xml:space="preserve">Compares the target resource as a document with other resources. Documents are judged similar if the </w:t>
      </w:r>
      <w:r w:rsidRPr="003210A1">
        <w:rPr>
          <w:rFonts w:ascii="Courier New" w:hAnsi="Courier New" w:cs="Courier New"/>
          <w:lang w:val="en-US"/>
        </w:rPr>
        <w:t>deep-equals</w:t>
      </w:r>
      <w:r>
        <w:rPr>
          <w:lang w:val="en-US"/>
        </w:rPr>
        <w:t xml:space="preserve"> function applied to </w:t>
      </w:r>
      <w:r w:rsidRPr="003210A1">
        <w:rPr>
          <w:i/>
          <w:lang w:val="en-US"/>
        </w:rPr>
        <w:t>modified copies</w:t>
      </w:r>
      <w:r>
        <w:rPr>
          <w:lang w:val="en-US"/>
        </w:rPr>
        <w:t xml:space="preserve"> of the documents </w:t>
      </w:r>
      <w:r w:rsidR="003210A1">
        <w:rPr>
          <w:lang w:val="en-US"/>
        </w:rPr>
        <w:t xml:space="preserve">to be compared </w:t>
      </w:r>
      <w:r>
        <w:rPr>
          <w:lang w:val="en-US"/>
        </w:rPr>
        <w:t xml:space="preserve">yields true. </w:t>
      </w:r>
      <w:r w:rsidR="00CB656F">
        <w:rPr>
          <w:lang w:val="en-US"/>
        </w:rPr>
        <w:t xml:space="preserve">Modification can consist in removing selected nodes, </w:t>
      </w:r>
      <w:r w:rsidR="00D62C28">
        <w:rPr>
          <w:lang w:val="en-US"/>
        </w:rPr>
        <w:t>editing their text content (replacing substrings) and rounding their numeric value.</w:t>
      </w:r>
    </w:p>
    <w:p w:rsidR="00147036" w:rsidRDefault="00147036" w:rsidP="00147036">
      <w:pPr>
        <w:spacing w:after="0"/>
        <w:rPr>
          <w:lang w:val="en-US"/>
        </w:rPr>
      </w:pPr>
    </w:p>
    <w:p w:rsidR="004F6DBC" w:rsidRDefault="004F6DBC" w:rsidP="004F6DBC">
      <w:pPr>
        <w:pStyle w:val="Heading2"/>
        <w:spacing w:after="160"/>
        <w:rPr>
          <w:lang w:val="en-US"/>
        </w:rPr>
      </w:pPr>
      <w:r>
        <w:rPr>
          <w:lang w:val="en-US"/>
        </w:rPr>
        <w:t>Link Definition</w:t>
      </w:r>
    </w:p>
    <w:p w:rsidR="00575984" w:rsidRDefault="00F27B1D" w:rsidP="004F6DBC">
      <w:pPr>
        <w:rPr>
          <w:lang w:val="en-US"/>
        </w:rPr>
      </w:pPr>
      <w:r>
        <w:rPr>
          <w:lang w:val="en-US"/>
        </w:rPr>
        <w:t xml:space="preserve">The current target resource of the containing file shape </w:t>
      </w:r>
      <w:r w:rsidR="008F1E1A">
        <w:rPr>
          <w:lang w:val="en-US"/>
        </w:rPr>
        <w:t xml:space="preserve">– or a subtree of it - </w:t>
      </w:r>
      <w:r>
        <w:rPr>
          <w:lang w:val="en-US"/>
        </w:rPr>
        <w:t xml:space="preserve">is compared with other resources </w:t>
      </w:r>
      <w:r w:rsidR="008F1E1A">
        <w:rPr>
          <w:lang w:val="en-US"/>
        </w:rPr>
        <w:t xml:space="preserve">(or subtrees of other resources) </w:t>
      </w:r>
      <w:r>
        <w:rPr>
          <w:lang w:val="en-US"/>
        </w:rPr>
        <w:t>identified as link targets of a Link Definition. The Link Definition may be provided locally, as part of the constraint element, or referenced by name.</w:t>
      </w:r>
    </w:p>
    <w:p w:rsidR="005D1673" w:rsidRDefault="005D1673" w:rsidP="004F6DBC">
      <w:pPr>
        <w:rPr>
          <w:lang w:val="en-US"/>
        </w:rPr>
      </w:pPr>
      <w:r>
        <w:rPr>
          <w:lang w:val="en-US"/>
        </w:rPr>
        <w:t>The node tree to be compared is a subtree of the current target resource if the constraint is a child of a focusNode selection, or if the Link Definition contains a link context expression selecting nodes from the link context document.</w:t>
      </w:r>
      <w:r w:rsidR="00A06B6F">
        <w:rPr>
          <w:lang w:val="en-US"/>
        </w:rPr>
        <w:t xml:space="preserve"> </w:t>
      </w:r>
      <w:r w:rsidR="00CE4045">
        <w:rPr>
          <w:lang w:val="en-US"/>
        </w:rPr>
        <w:t xml:space="preserve">In the following examples, the node tree compared with other node trees are the subtrees rooted in </w:t>
      </w:r>
      <w:r w:rsidR="00CE4045" w:rsidRPr="00CE4045">
        <w:rPr>
          <w:rFonts w:ascii="Courier New" w:hAnsi="Courier New" w:cs="Courier New"/>
          <w:lang w:val="en-US"/>
        </w:rPr>
        <w:t>&lt;airport&gt;</w:t>
      </w:r>
      <w:r w:rsidR="00CE4045">
        <w:rPr>
          <w:lang w:val="en-US"/>
        </w:rPr>
        <w:t xml:space="preserve"> elements</w:t>
      </w:r>
      <w:r w:rsidR="00A06B6F">
        <w:rPr>
          <w:lang w:val="en-US"/>
        </w:rPr>
        <w:t>:</w:t>
      </w:r>
    </w:p>
    <w:p w:rsidR="00A06B6F" w:rsidRPr="00A06B6F" w:rsidRDefault="00A06B6F" w:rsidP="00A06B6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6B6F">
        <w:rPr>
          <w:rFonts w:ascii="Courier New" w:hAnsi="Courier New" w:cs="Courier New"/>
          <w:sz w:val="18"/>
          <w:szCs w:val="18"/>
          <w:lang w:val="en-US"/>
        </w:rPr>
        <w:t>&lt;focusNode xpath="//airport"&gt;</w:t>
      </w:r>
    </w:p>
    <w:p w:rsidR="00A06B6F" w:rsidRPr="00A06B6F" w:rsidRDefault="00A06B6F" w:rsidP="00A06B6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6B6F">
        <w:rPr>
          <w:rFonts w:ascii="Courier New" w:hAnsi="Courier New" w:cs="Courier New"/>
          <w:sz w:val="18"/>
          <w:szCs w:val="18"/>
          <w:lang w:val="en-US"/>
        </w:rPr>
        <w:t xml:space="preserve">    &lt;docSimilar linkName="…</w:t>
      </w:r>
      <w:r w:rsidRPr="002108C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06B6F">
        <w:rPr>
          <w:rFonts w:ascii="Courier New" w:hAnsi="Courier New" w:cs="Courier New"/>
          <w:sz w:val="18"/>
          <w:szCs w:val="18"/>
          <w:lang w:val="en-US"/>
        </w:rPr>
        <w:t>"&gt;…&lt;/docSimilar&gt;</w:t>
      </w:r>
    </w:p>
    <w:p w:rsidR="00A06B6F" w:rsidRPr="00A06B6F" w:rsidRDefault="00A06B6F" w:rsidP="002108C5">
      <w:pPr>
        <w:rPr>
          <w:rFonts w:ascii="Courier New" w:hAnsi="Courier New" w:cs="Courier New"/>
          <w:sz w:val="18"/>
          <w:szCs w:val="18"/>
          <w:lang w:val="en-US"/>
        </w:rPr>
      </w:pPr>
      <w:r w:rsidRPr="00A06B6F">
        <w:rPr>
          <w:rFonts w:ascii="Courier New" w:hAnsi="Courier New" w:cs="Courier New"/>
          <w:sz w:val="18"/>
          <w:szCs w:val="18"/>
          <w:lang w:val="en-US"/>
        </w:rPr>
        <w:t>&lt;/focusNode&gt;</w:t>
      </w:r>
    </w:p>
    <w:p w:rsidR="002108C5" w:rsidRPr="00A06B6F" w:rsidRDefault="002108C5" w:rsidP="002108C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6B6F">
        <w:rPr>
          <w:rFonts w:ascii="Courier New" w:hAnsi="Courier New" w:cs="Courier New"/>
          <w:sz w:val="18"/>
          <w:szCs w:val="18"/>
          <w:lang w:val="en-US"/>
        </w:rPr>
        <w:t xml:space="preserve">&lt;docSimilar </w:t>
      </w:r>
      <w:r>
        <w:rPr>
          <w:rFonts w:ascii="Courier New" w:hAnsi="Courier New" w:cs="Courier New"/>
          <w:sz w:val="18"/>
          <w:szCs w:val="18"/>
          <w:lang w:val="en-US"/>
        </w:rPr>
        <w:t>contextXP=</w:t>
      </w:r>
      <w:r w:rsidRPr="002108C5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//airport</w:t>
      </w:r>
      <w:r w:rsidRPr="002108C5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06B6F">
        <w:rPr>
          <w:rFonts w:ascii="Courier New" w:hAnsi="Courier New" w:cs="Courier New"/>
          <w:sz w:val="18"/>
          <w:szCs w:val="18"/>
          <w:lang w:val="en-US"/>
        </w:rPr>
        <w:t>linkName="…</w:t>
      </w:r>
      <w:r w:rsidRPr="002108C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06B6F">
        <w:rPr>
          <w:rFonts w:ascii="Courier New" w:hAnsi="Courier New" w:cs="Courier New"/>
          <w:sz w:val="18"/>
          <w:szCs w:val="18"/>
          <w:lang w:val="en-US"/>
        </w:rPr>
        <w:t>"&gt;…&lt;/docSimilar&gt;</w:t>
      </w:r>
    </w:p>
    <w:p w:rsidR="00EE381D" w:rsidRDefault="00EE381D" w:rsidP="004F6DBC">
      <w:pPr>
        <w:rPr>
          <w:lang w:val="en-US"/>
        </w:rPr>
      </w:pPr>
    </w:p>
    <w:p w:rsidR="004F6DBC" w:rsidRDefault="004F6DBC" w:rsidP="004F6DBC">
      <w:pPr>
        <w:pStyle w:val="Heading3"/>
        <w:spacing w:after="160"/>
        <w:rPr>
          <w:lang w:val="en-US"/>
        </w:rPr>
      </w:pPr>
      <w:r>
        <w:rPr>
          <w:lang w:val="en-US"/>
        </w:rPr>
        <w:t>Link Name reference</w:t>
      </w:r>
    </w:p>
    <w:p w:rsidR="00EF35AD" w:rsidRDefault="00EF35AD" w:rsidP="004F6DBC">
      <w:pPr>
        <w:rPr>
          <w:lang w:val="en-US"/>
        </w:rPr>
      </w:pPr>
      <w:r>
        <w:rPr>
          <w:lang w:val="en-US"/>
        </w:rPr>
        <w:t>The Link Definition may be referenced by name:</w:t>
      </w:r>
    </w:p>
    <w:p w:rsidR="00EF35AD" w:rsidRPr="00A06B6F" w:rsidRDefault="00EF35AD" w:rsidP="00EF35AD">
      <w:pPr>
        <w:rPr>
          <w:rFonts w:ascii="Courier New" w:hAnsi="Courier New" w:cs="Courier New"/>
          <w:sz w:val="18"/>
          <w:szCs w:val="18"/>
          <w:lang w:val="en-US"/>
        </w:rPr>
      </w:pPr>
      <w:r w:rsidRPr="00A06B6F">
        <w:rPr>
          <w:rFonts w:ascii="Courier New" w:hAnsi="Courier New" w:cs="Courier New"/>
          <w:sz w:val="18"/>
          <w:szCs w:val="18"/>
          <w:lang w:val="en-US"/>
        </w:rPr>
        <w:t>&lt;docSimilar linkName="</w:t>
      </w:r>
      <w:r>
        <w:rPr>
          <w:rFonts w:ascii="Courier New" w:hAnsi="Courier New" w:cs="Courier New"/>
          <w:sz w:val="18"/>
          <w:szCs w:val="18"/>
          <w:lang w:val="en-US"/>
        </w:rPr>
        <w:t>refDoc</w:t>
      </w:r>
      <w:r w:rsidRPr="00A06B6F">
        <w:rPr>
          <w:rFonts w:ascii="Courier New" w:hAnsi="Courier New" w:cs="Courier New"/>
          <w:sz w:val="18"/>
          <w:szCs w:val="18"/>
          <w:lang w:val="en-US"/>
        </w:rPr>
        <w:t>"&gt;…&lt;/docSimilar&gt;</w:t>
      </w:r>
    </w:p>
    <w:p w:rsidR="004F6DBC" w:rsidRDefault="00EF35AD" w:rsidP="004F6DBC">
      <w:pPr>
        <w:rPr>
          <w:lang w:val="en-US"/>
        </w:rPr>
      </w:pPr>
      <w:r>
        <w:rPr>
          <w:lang w:val="en-US"/>
        </w:rPr>
        <w:t xml:space="preserve">In this case there must be a global Link Defintion with a @name attribute matching the @linkName attribute on </w:t>
      </w:r>
      <w:r w:rsidRPr="00EF35AD">
        <w:rPr>
          <w:rFonts w:ascii="Courier New" w:hAnsi="Courier New" w:cs="Courier New"/>
          <w:lang w:val="en-US"/>
        </w:rPr>
        <w:t>&lt;docSimilar&gt;</w:t>
      </w:r>
      <w:r>
        <w:rPr>
          <w:lang w:val="en-US"/>
        </w:rPr>
        <w:t>.</w:t>
      </w:r>
    </w:p>
    <w:p w:rsidR="00E813D2" w:rsidRDefault="00E813D2" w:rsidP="004F6DBC">
      <w:pPr>
        <w:rPr>
          <w:lang w:val="en-US"/>
        </w:rPr>
      </w:pPr>
    </w:p>
    <w:p w:rsidR="004F6DBC" w:rsidRDefault="004F6DBC" w:rsidP="004F6DBC">
      <w:pPr>
        <w:pStyle w:val="Heading3"/>
        <w:spacing w:after="160"/>
        <w:rPr>
          <w:lang w:val="en-US"/>
        </w:rPr>
      </w:pPr>
      <w:r>
        <w:rPr>
          <w:lang w:val="en-US"/>
        </w:rPr>
        <w:t>Local Link Definition</w:t>
      </w:r>
    </w:p>
    <w:p w:rsidR="004F6DBC" w:rsidRDefault="00EF35AD" w:rsidP="004F6DBC">
      <w:pPr>
        <w:rPr>
          <w:lang w:val="en-US"/>
        </w:rPr>
      </w:pPr>
      <w:r>
        <w:rPr>
          <w:lang w:val="en-US"/>
        </w:rPr>
        <w:t xml:space="preserve">The Link Definition may be local, that is, a part of the </w:t>
      </w:r>
      <w:r w:rsidRPr="00EF35AD">
        <w:rPr>
          <w:rFonts w:ascii="Courier New" w:hAnsi="Courier New" w:cs="Courier New"/>
          <w:lang w:val="en-US"/>
        </w:rPr>
        <w:t>&lt;docSimilar&gt;</w:t>
      </w:r>
      <w:r>
        <w:rPr>
          <w:lang w:val="en-US"/>
        </w:rPr>
        <w:t xml:space="preserve"> constraint. </w:t>
      </w:r>
      <w:r w:rsidR="002657FB">
        <w:rPr>
          <w:lang w:val="en-US"/>
        </w:rPr>
        <w:t>Note that the attributes available for local Link Defintions are independent of the kind of constraint. In fact, they are the same attributes available in</w:t>
      </w:r>
      <w:r w:rsidR="0089748F">
        <w:rPr>
          <w:lang w:val="en-US"/>
        </w:rPr>
        <w:t xml:space="preserve"> global Link Definitions (</w:t>
      </w:r>
      <w:r w:rsidR="002657FB" w:rsidRPr="0089748F">
        <w:rPr>
          <w:rFonts w:ascii="Courier New" w:hAnsi="Courier New" w:cs="Courier New"/>
          <w:lang w:val="en-US"/>
        </w:rPr>
        <w:t>&lt;linkDef&gt;</w:t>
      </w:r>
      <w:r w:rsidR="002657FB">
        <w:rPr>
          <w:lang w:val="en-US"/>
        </w:rPr>
        <w:t xml:space="preserve"> , excepti</w:t>
      </w:r>
      <w:r w:rsidR="0089748F">
        <w:rPr>
          <w:lang w:val="en-US"/>
        </w:rPr>
        <w:t>ng</w:t>
      </w:r>
      <w:r w:rsidR="002657FB">
        <w:rPr>
          <w:lang w:val="en-US"/>
        </w:rPr>
        <w:t xml:space="preserve"> the @name element which is not allowed in the constraint element. The available attributes are</w:t>
      </w:r>
      <w:r>
        <w:rPr>
          <w:lang w:val="en-US"/>
        </w:rPr>
        <w:t>:</w:t>
      </w:r>
    </w:p>
    <w:p w:rsidR="00EF35AD" w:rsidRDefault="00EF35AD" w:rsidP="00022DBF">
      <w:pPr>
        <w:spacing w:after="0"/>
        <w:rPr>
          <w:lang w:val="en-US"/>
        </w:rPr>
      </w:pPr>
      <w:r>
        <w:rPr>
          <w:lang w:val="en-US"/>
        </w:rPr>
        <w:t>@foxpath</w:t>
      </w:r>
    </w:p>
    <w:p w:rsidR="00EF35AD" w:rsidRDefault="00EF35AD" w:rsidP="00022DBF">
      <w:pPr>
        <w:spacing w:after="0"/>
        <w:rPr>
          <w:lang w:val="en-US"/>
        </w:rPr>
      </w:pPr>
      <w:r>
        <w:rPr>
          <w:lang w:val="en-US"/>
        </w:rPr>
        <w:t>@hrefXP</w:t>
      </w:r>
    </w:p>
    <w:p w:rsidR="00EF35AD" w:rsidRDefault="00EF35AD" w:rsidP="00022DBF">
      <w:pPr>
        <w:spacing w:after="0"/>
        <w:rPr>
          <w:lang w:val="en-US"/>
        </w:rPr>
      </w:pPr>
      <w:r>
        <w:rPr>
          <w:lang w:val="en-US"/>
        </w:rPr>
        <w:t>@uriXP</w:t>
      </w:r>
    </w:p>
    <w:p w:rsidR="00EF35AD" w:rsidRDefault="00EF35AD" w:rsidP="004F6DBC">
      <w:pPr>
        <w:rPr>
          <w:lang w:val="en-US"/>
        </w:rPr>
      </w:pPr>
      <w:r>
        <w:rPr>
          <w:lang w:val="en-US"/>
        </w:rPr>
        <w:t>@uriTemplate</w:t>
      </w:r>
    </w:p>
    <w:p w:rsidR="004F6DBC" w:rsidRDefault="00DA5A69">
      <w:pPr>
        <w:rPr>
          <w:lang w:val="en-US"/>
        </w:rPr>
      </w:pPr>
      <w:r>
        <w:rPr>
          <w:lang w:val="en-US"/>
        </w:rPr>
        <w:t>(To be continued)</w:t>
      </w:r>
    </w:p>
    <w:p w:rsidR="00F60675" w:rsidRDefault="00F60675">
      <w:pPr>
        <w:rPr>
          <w:lang w:val="en-US"/>
        </w:rPr>
      </w:pPr>
      <w:bookmarkStart w:id="0" w:name="_GoBack"/>
      <w:bookmarkEnd w:id="0"/>
    </w:p>
    <w:p w:rsidR="009D1BFC" w:rsidRDefault="009D1BFC" w:rsidP="00EA52E2">
      <w:pPr>
        <w:pStyle w:val="Heading2"/>
        <w:spacing w:after="160"/>
        <w:rPr>
          <w:lang w:val="en-US"/>
        </w:rPr>
      </w:pPr>
      <w:r>
        <w:rPr>
          <w:lang w:val="en-US"/>
        </w:rPr>
        <w:t>Evaluation context</w:t>
      </w:r>
    </w:p>
    <w:p w:rsidR="00F41DB9" w:rsidRDefault="00590BC6">
      <w:pPr>
        <w:rPr>
          <w:lang w:val="en-US"/>
        </w:rPr>
      </w:pPr>
      <w:r>
        <w:rPr>
          <w:lang w:val="en-US"/>
        </w:rPr>
        <w:t>The Link Definition is resolved in the context of the current target resource of the containing resource shape.</w:t>
      </w:r>
    </w:p>
    <w:p w:rsidR="00CC55C2" w:rsidRDefault="00CC55C2">
      <w:pPr>
        <w:rPr>
          <w:lang w:val="en-US"/>
        </w:rPr>
      </w:pPr>
    </w:p>
    <w:p w:rsidR="00F702F8" w:rsidRDefault="00F702F8" w:rsidP="00EA52E2">
      <w:pPr>
        <w:pStyle w:val="Heading2"/>
        <w:spacing w:after="160"/>
        <w:rPr>
          <w:lang w:val="en-US"/>
        </w:rPr>
      </w:pPr>
      <w:r>
        <w:rPr>
          <w:lang w:val="en-US"/>
        </w:rPr>
        <w:t>Expression variable bindings</w:t>
      </w:r>
    </w:p>
    <w:p w:rsidR="00F702F8" w:rsidRDefault="00F702F8" w:rsidP="00F702F8">
      <w:pPr>
        <w:rPr>
          <w:lang w:val="en-US"/>
        </w:rPr>
      </w:pPr>
      <w:r>
        <w:rPr>
          <w:lang w:val="en-US"/>
        </w:rPr>
        <w:t>Bla</w:t>
      </w:r>
    </w:p>
    <w:p w:rsidR="00F702F8" w:rsidRDefault="00F702F8">
      <w:pPr>
        <w:rPr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Check nodes</w:t>
      </w:r>
    </w:p>
    <w:p w:rsidR="00377762" w:rsidRDefault="00BB2EE3">
      <w:pPr>
        <w:rPr>
          <w:lang w:val="en-US"/>
        </w:rPr>
      </w:pPr>
      <w:r>
        <w:rPr>
          <w:lang w:val="en-US"/>
        </w:rPr>
        <w:t xml:space="preserve">Table 1: Check nodes supported by </w:t>
      </w:r>
      <w:r w:rsidR="0067517B">
        <w:rPr>
          <w:lang w:val="en-US"/>
        </w:rPr>
        <w:t xml:space="preserve">DocSimilar </w:t>
      </w:r>
      <w:r>
        <w:rPr>
          <w:lang w:val="en-US"/>
        </w:rPr>
        <w:t>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106"/>
        <w:gridCol w:w="2086"/>
        <w:gridCol w:w="2054"/>
      </w:tblGrid>
      <w:tr w:rsidR="004848D9" w:rsidTr="008271CE">
        <w:tc>
          <w:tcPr>
            <w:tcW w:w="2816" w:type="dxa"/>
          </w:tcPr>
          <w:p w:rsidR="004848D9" w:rsidRDefault="003274EA" w:rsidP="003274EA">
            <w:pPr>
              <w:rPr>
                <w:lang w:val="en-US"/>
              </w:rPr>
            </w:pPr>
            <w:r>
              <w:rPr>
                <w:lang w:val="en-US"/>
              </w:rPr>
              <w:t>Check n</w:t>
            </w:r>
            <w:r w:rsidR="004848D9">
              <w:rPr>
                <w:lang w:val="en-US"/>
              </w:rPr>
              <w:t>ode path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48D9" w:rsidTr="008271CE">
        <w:tc>
          <w:tcPr>
            <w:tcW w:w="2816" w:type="dxa"/>
          </w:tcPr>
          <w:p w:rsidR="004848D9" w:rsidRDefault="00905DD3" w:rsidP="00905DD3">
            <w:pPr>
              <w:rPr>
                <w:lang w:val="en-US"/>
              </w:rPr>
            </w:pPr>
            <w:r>
              <w:rPr>
                <w:lang w:val="en-US"/>
              </w:rPr>
              <w:t>docSimilar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4848D9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8271CE">
              <w:rPr>
                <w:lang w:val="en-US"/>
              </w:rPr>
              <w:t>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8271CE">
            <w:pPr>
              <w:rPr>
                <w:lang w:val="en-US"/>
              </w:rPr>
            </w:pPr>
            <w:r>
              <w:rPr>
                <w:lang w:val="en-US"/>
              </w:rPr>
              <w:t>@minCountTargetResources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Default="008271CE">
            <w:pPr>
              <w:rPr>
                <w:lang w:val="en-US"/>
              </w:rPr>
            </w:pPr>
            <w:r>
              <w:rPr>
                <w:lang w:val="en-US"/>
              </w:rPr>
              <w:t>@maxCountTargetResources</w:t>
            </w:r>
          </w:p>
        </w:tc>
        <w:tc>
          <w:tcPr>
            <w:tcW w:w="210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8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8271CE">
        <w:tc>
          <w:tcPr>
            <w:tcW w:w="2816" w:type="dxa"/>
          </w:tcPr>
          <w:p w:rsidR="004848D9" w:rsidRPr="008271CE" w:rsidRDefault="008271CE" w:rsidP="008271CE">
            <w:r>
              <w:t>…</w:t>
            </w:r>
          </w:p>
        </w:tc>
        <w:tc>
          <w:tcPr>
            <w:tcW w:w="2106" w:type="dxa"/>
          </w:tcPr>
          <w:p w:rsidR="004848D9" w:rsidRPr="008271CE" w:rsidRDefault="004848D9"/>
        </w:tc>
        <w:tc>
          <w:tcPr>
            <w:tcW w:w="2086" w:type="dxa"/>
          </w:tcPr>
          <w:p w:rsidR="004848D9" w:rsidRPr="008271CE" w:rsidRDefault="004848D9"/>
        </w:tc>
        <w:tc>
          <w:tcPr>
            <w:tcW w:w="2054" w:type="dxa"/>
          </w:tcPr>
          <w:p w:rsidR="004848D9" w:rsidRPr="008271CE" w:rsidRDefault="004848D9"/>
        </w:tc>
      </w:tr>
    </w:tbl>
    <w:p w:rsidR="00377762" w:rsidRDefault="00377762" w:rsidP="00886A98">
      <w:pPr>
        <w:rPr>
          <w:lang w:val="en-US"/>
        </w:rPr>
      </w:pPr>
    </w:p>
    <w:sectPr w:rsidR="00377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D173E"/>
    <w:rsid w:val="001202CD"/>
    <w:rsid w:val="00147036"/>
    <w:rsid w:val="002108C5"/>
    <w:rsid w:val="00212545"/>
    <w:rsid w:val="0026300C"/>
    <w:rsid w:val="002657FB"/>
    <w:rsid w:val="002E55D0"/>
    <w:rsid w:val="003210A1"/>
    <w:rsid w:val="003274EA"/>
    <w:rsid w:val="00336A59"/>
    <w:rsid w:val="00340F16"/>
    <w:rsid w:val="00377762"/>
    <w:rsid w:val="00481CAA"/>
    <w:rsid w:val="004848D9"/>
    <w:rsid w:val="00486A75"/>
    <w:rsid w:val="004B3C0E"/>
    <w:rsid w:val="004F6DBC"/>
    <w:rsid w:val="00575984"/>
    <w:rsid w:val="00585E5A"/>
    <w:rsid w:val="00590BC6"/>
    <w:rsid w:val="005D1673"/>
    <w:rsid w:val="0061561E"/>
    <w:rsid w:val="00652DFB"/>
    <w:rsid w:val="0067517B"/>
    <w:rsid w:val="0068784D"/>
    <w:rsid w:val="006D750B"/>
    <w:rsid w:val="007330F5"/>
    <w:rsid w:val="007C2B07"/>
    <w:rsid w:val="008271CE"/>
    <w:rsid w:val="008749AD"/>
    <w:rsid w:val="00886A98"/>
    <w:rsid w:val="0089748F"/>
    <w:rsid w:val="008A37FE"/>
    <w:rsid w:val="008F1E1A"/>
    <w:rsid w:val="00905DD3"/>
    <w:rsid w:val="009C0083"/>
    <w:rsid w:val="009C6830"/>
    <w:rsid w:val="009D1BFC"/>
    <w:rsid w:val="00A06B6F"/>
    <w:rsid w:val="00BB2EE3"/>
    <w:rsid w:val="00BC5AD2"/>
    <w:rsid w:val="00C56690"/>
    <w:rsid w:val="00CB2921"/>
    <w:rsid w:val="00CB656F"/>
    <w:rsid w:val="00CC03D5"/>
    <w:rsid w:val="00CC55C2"/>
    <w:rsid w:val="00CE4045"/>
    <w:rsid w:val="00D30C1D"/>
    <w:rsid w:val="00D33E2C"/>
    <w:rsid w:val="00D62C28"/>
    <w:rsid w:val="00DA5A69"/>
    <w:rsid w:val="00DB2758"/>
    <w:rsid w:val="00E10C94"/>
    <w:rsid w:val="00E813D2"/>
    <w:rsid w:val="00EA1B5B"/>
    <w:rsid w:val="00EA52E2"/>
    <w:rsid w:val="00EE381D"/>
    <w:rsid w:val="00EF35AD"/>
    <w:rsid w:val="00F27B1D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56</cp:revision>
  <dcterms:created xsi:type="dcterms:W3CDTF">2020-09-15T21:44:00Z</dcterms:created>
  <dcterms:modified xsi:type="dcterms:W3CDTF">2020-09-18T21:12:00Z</dcterms:modified>
</cp:coreProperties>
</file>