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7330F5" w:rsidP="00F41DB9">
      <w:pPr>
        <w:pStyle w:val="Heading1"/>
      </w:pPr>
      <w:r>
        <w:t>Links</w:t>
      </w:r>
      <w:r w:rsidR="000473CF">
        <w:t xml:space="preserve"> constraint</w:t>
      </w:r>
    </w:p>
    <w:p w:rsidR="00F41DB9" w:rsidRDefault="00F41DB9"/>
    <w:p w:rsidR="009C6830" w:rsidRPr="009C6830" w:rsidRDefault="009C6830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Summary</w:t>
      </w:r>
    </w:p>
    <w:p w:rsidR="009C6830" w:rsidRPr="009C6830" w:rsidRDefault="009C6830" w:rsidP="009C6830">
      <w:pPr>
        <w:rPr>
          <w:lang w:val="en-US"/>
        </w:rPr>
      </w:pPr>
      <w:r>
        <w:rPr>
          <w:lang w:val="en-US"/>
        </w:rPr>
        <w:t>…</w:t>
      </w:r>
    </w:p>
    <w:p w:rsidR="009C6830" w:rsidRPr="009C6830" w:rsidRDefault="009C6830">
      <w:pPr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Pr="00340F16" w:rsidRDefault="000473CF">
      <w:pPr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7330F5" w:rsidRPr="00340F16">
        <w:rPr>
          <w:rFonts w:ascii="Courier New" w:hAnsi="Courier New" w:cs="Courier New"/>
          <w:lang w:val="en-US"/>
        </w:rPr>
        <w:t>links</w:t>
      </w:r>
      <w:r w:rsidRPr="00340F16">
        <w:rPr>
          <w:rFonts w:ascii="Courier New" w:hAnsi="Courier New" w:cs="Courier New"/>
          <w:lang w:val="en-US"/>
        </w:rPr>
        <w:t>&gt;</w:t>
      </w:r>
    </w:p>
    <w:p w:rsidR="00340F16" w:rsidRPr="009C6830" w:rsidRDefault="00340F16">
      <w:pPr>
        <w:rPr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0473CF" w:rsidRDefault="00340F16" w:rsidP="00340F16">
      <w:pPr>
        <w:pStyle w:val="Heading2"/>
        <w:spacing w:after="160"/>
        <w:rPr>
          <w:lang w:val="en-US"/>
        </w:rPr>
      </w:pPr>
      <w:r w:rsidRPr="00340F1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&lt;links</w:t>
      </w:r>
      <w:r w:rsidRPr="00340F1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hrefXP</w:t>
      </w:r>
      <w:r w:rsidRPr="00340F1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40F1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"//@fileref"</w:t>
      </w:r>
      <w:r w:rsidRPr="00340F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340F1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resolvable</w:t>
      </w:r>
      <w:r w:rsidRPr="00340F1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40F1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"true"</w:t>
      </w:r>
      <w:r w:rsidRPr="00340F1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resolvableMsg</w:t>
      </w:r>
      <w:r w:rsidRPr="00340F1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40F1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 'fileref' link which cannot be resolved."</w:t>
      </w:r>
      <w:r w:rsidRPr="00340F1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340F1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1202CD" w:rsidRDefault="001202CD" w:rsidP="00340F16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EA1B5B" w:rsidRDefault="00340F16">
      <w:pPr>
        <w:rPr>
          <w:lang w:val="en-US"/>
        </w:rPr>
      </w:pPr>
      <w:r>
        <w:rPr>
          <w:lang w:val="en-US"/>
        </w:rPr>
        <w:t>Applies a Link Definition and checks the results in various way</w:t>
      </w:r>
      <w:r w:rsidR="00DB2758">
        <w:rPr>
          <w:lang w:val="en-US"/>
        </w:rPr>
        <w:t>, e.g.</w:t>
      </w:r>
      <w:r>
        <w:rPr>
          <w:lang w:val="en-US"/>
        </w:rPr>
        <w:t xml:space="preserve"> whether </w:t>
      </w:r>
      <w:r w:rsidR="00DB2758">
        <w:rPr>
          <w:lang w:val="en-US"/>
        </w:rPr>
        <w:t xml:space="preserve">URI </w:t>
      </w:r>
      <w:r>
        <w:rPr>
          <w:lang w:val="en-US"/>
        </w:rPr>
        <w:t xml:space="preserve">references could be resolved and </w:t>
      </w:r>
      <w:r w:rsidR="00DB2758">
        <w:rPr>
          <w:lang w:val="en-US"/>
        </w:rPr>
        <w:t>whether the number of target resources or other counts match expectations</w:t>
      </w:r>
      <w:r>
        <w:rPr>
          <w:lang w:val="en-US"/>
        </w:rPr>
        <w:t>.</w:t>
      </w:r>
      <w:r w:rsidR="00212545">
        <w:rPr>
          <w:lang w:val="en-US"/>
        </w:rPr>
        <w:t xml:space="preserve"> The constraint element references or specifies a Link Definition, and it declares constraints on the result of resolving the Link Definition in the context of the shape target resource.</w:t>
      </w:r>
      <w:bookmarkStart w:id="0" w:name="_GoBack"/>
      <w:bookmarkEnd w:id="0"/>
    </w:p>
    <w:p w:rsidR="000473CF" w:rsidRDefault="000473CF">
      <w:pPr>
        <w:rPr>
          <w:lang w:val="en-US"/>
        </w:rPr>
      </w:pPr>
    </w:p>
    <w:p w:rsidR="004F6DBC" w:rsidRDefault="004F6DBC" w:rsidP="004F6DBC">
      <w:pPr>
        <w:pStyle w:val="Heading2"/>
        <w:spacing w:after="160"/>
        <w:rPr>
          <w:lang w:val="en-US"/>
        </w:rPr>
      </w:pPr>
      <w:r>
        <w:rPr>
          <w:lang w:val="en-US"/>
        </w:rPr>
        <w:t>Link Definition</w:t>
      </w:r>
    </w:p>
    <w:p w:rsidR="004F6DBC" w:rsidRDefault="004F6DBC" w:rsidP="004F6DBC">
      <w:pPr>
        <w:rPr>
          <w:lang w:val="en-US"/>
        </w:rPr>
      </w:pPr>
      <w:r>
        <w:rPr>
          <w:lang w:val="en-US"/>
        </w:rPr>
        <w:t>Bla</w:t>
      </w:r>
    </w:p>
    <w:p w:rsidR="00EE381D" w:rsidRDefault="00EE381D" w:rsidP="004F6DBC">
      <w:pPr>
        <w:rPr>
          <w:lang w:val="en-US"/>
        </w:rPr>
      </w:pPr>
    </w:p>
    <w:p w:rsidR="004F6DBC" w:rsidRDefault="004F6DBC" w:rsidP="004F6DBC">
      <w:pPr>
        <w:pStyle w:val="Heading3"/>
        <w:spacing w:after="160"/>
        <w:rPr>
          <w:lang w:val="en-US"/>
        </w:rPr>
      </w:pPr>
      <w:r>
        <w:rPr>
          <w:lang w:val="en-US"/>
        </w:rPr>
        <w:t>Link Name reference</w:t>
      </w:r>
    </w:p>
    <w:p w:rsidR="004F6DBC" w:rsidRDefault="004F6DBC" w:rsidP="004F6DBC">
      <w:pPr>
        <w:rPr>
          <w:lang w:val="en-US"/>
        </w:rPr>
      </w:pPr>
      <w:r>
        <w:rPr>
          <w:lang w:val="en-US"/>
        </w:rPr>
        <w:t>Bla</w:t>
      </w:r>
    </w:p>
    <w:p w:rsidR="00E813D2" w:rsidRDefault="00E813D2" w:rsidP="004F6DBC">
      <w:pPr>
        <w:rPr>
          <w:lang w:val="en-US"/>
        </w:rPr>
      </w:pPr>
    </w:p>
    <w:p w:rsidR="004F6DBC" w:rsidRDefault="004F6DBC" w:rsidP="004F6DBC">
      <w:pPr>
        <w:pStyle w:val="Heading3"/>
        <w:spacing w:after="160"/>
        <w:rPr>
          <w:lang w:val="en-US"/>
        </w:rPr>
      </w:pPr>
      <w:r>
        <w:rPr>
          <w:lang w:val="en-US"/>
        </w:rPr>
        <w:t>Local Link Definition</w:t>
      </w:r>
    </w:p>
    <w:p w:rsidR="004F6DBC" w:rsidRDefault="004F6DBC" w:rsidP="004F6DBC">
      <w:pPr>
        <w:rPr>
          <w:lang w:val="en-US"/>
        </w:rPr>
      </w:pPr>
      <w:r>
        <w:rPr>
          <w:lang w:val="en-US"/>
        </w:rPr>
        <w:t>bla</w:t>
      </w:r>
    </w:p>
    <w:p w:rsidR="004F6DBC" w:rsidRDefault="004F6DBC">
      <w:pPr>
        <w:rPr>
          <w:lang w:val="en-US"/>
        </w:rPr>
      </w:pPr>
    </w:p>
    <w:p w:rsidR="009D1BFC" w:rsidRDefault="009D1BFC" w:rsidP="00EA52E2">
      <w:pPr>
        <w:pStyle w:val="Heading2"/>
        <w:spacing w:after="160"/>
        <w:rPr>
          <w:lang w:val="en-US"/>
        </w:rPr>
      </w:pPr>
      <w:r>
        <w:rPr>
          <w:lang w:val="en-US"/>
        </w:rPr>
        <w:t>Evaluation context</w:t>
      </w:r>
    </w:p>
    <w:p w:rsidR="00F41DB9" w:rsidRDefault="00590BC6">
      <w:pPr>
        <w:rPr>
          <w:lang w:val="en-US"/>
        </w:rPr>
      </w:pPr>
      <w:r>
        <w:rPr>
          <w:lang w:val="en-US"/>
        </w:rPr>
        <w:t>The Link Definition is resolved in the context of the current target resource of the containing resource shape.</w:t>
      </w:r>
    </w:p>
    <w:p w:rsidR="00CC55C2" w:rsidRDefault="00CC55C2">
      <w:pPr>
        <w:rPr>
          <w:lang w:val="en-US"/>
        </w:rPr>
      </w:pPr>
    </w:p>
    <w:p w:rsidR="00F702F8" w:rsidRDefault="00F702F8" w:rsidP="00EA52E2">
      <w:pPr>
        <w:pStyle w:val="Heading2"/>
        <w:spacing w:after="160"/>
        <w:rPr>
          <w:lang w:val="en-US"/>
        </w:rPr>
      </w:pPr>
      <w:r>
        <w:rPr>
          <w:lang w:val="en-US"/>
        </w:rPr>
        <w:t>Expression variable bindings</w:t>
      </w:r>
    </w:p>
    <w:p w:rsidR="00F702F8" w:rsidRDefault="00F702F8" w:rsidP="00F702F8">
      <w:pPr>
        <w:rPr>
          <w:lang w:val="en-US"/>
        </w:rPr>
      </w:pPr>
      <w:r>
        <w:rPr>
          <w:lang w:val="en-US"/>
        </w:rPr>
        <w:t>Bla</w:t>
      </w:r>
    </w:p>
    <w:p w:rsidR="00F702F8" w:rsidRDefault="00F702F8">
      <w:pPr>
        <w:rPr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Check nodes</w:t>
      </w:r>
    </w:p>
    <w:p w:rsidR="00377762" w:rsidRDefault="00BB2EE3">
      <w:pPr>
        <w:rPr>
          <w:lang w:val="en-US"/>
        </w:rPr>
      </w:pPr>
      <w:r>
        <w:rPr>
          <w:lang w:val="en-US"/>
        </w:rPr>
        <w:t>Table 1: Check nodes supported by foxvalue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106"/>
        <w:gridCol w:w="2086"/>
        <w:gridCol w:w="2054"/>
      </w:tblGrid>
      <w:tr w:rsidR="004848D9" w:rsidTr="008271CE">
        <w:tc>
          <w:tcPr>
            <w:tcW w:w="2816" w:type="dxa"/>
          </w:tcPr>
          <w:p w:rsidR="004848D9" w:rsidRDefault="003274EA" w:rsidP="003274EA">
            <w:pPr>
              <w:rPr>
                <w:lang w:val="en-US"/>
              </w:rPr>
            </w:pPr>
            <w:r>
              <w:rPr>
                <w:lang w:val="en-US"/>
              </w:rPr>
              <w:t>Check n</w:t>
            </w:r>
            <w:r w:rsidR="004848D9">
              <w:rPr>
                <w:lang w:val="en-US"/>
              </w:rPr>
              <w:t>ode path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848D9" w:rsidTr="008271CE">
        <w:tc>
          <w:tcPr>
            <w:tcW w:w="2816" w:type="dxa"/>
          </w:tcPr>
          <w:p w:rsidR="004848D9" w:rsidRDefault="004848D9" w:rsidP="008749AD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8749AD">
              <w:rPr>
                <w:lang w:val="en-US"/>
              </w:rPr>
              <w:t>resolvable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Default="004848D9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8271CE">
              <w:rPr>
                <w:lang w:val="en-US"/>
              </w:rPr>
              <w:t>countTargetResources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Default="008271CE">
            <w:pPr>
              <w:rPr>
                <w:lang w:val="en-US"/>
              </w:rPr>
            </w:pPr>
            <w:r>
              <w:rPr>
                <w:lang w:val="en-US"/>
              </w:rPr>
              <w:t>@minCountTargetResources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Default="008271CE">
            <w:pPr>
              <w:rPr>
                <w:lang w:val="en-US"/>
              </w:rPr>
            </w:pPr>
            <w:r>
              <w:rPr>
                <w:lang w:val="en-US"/>
              </w:rPr>
              <w:t>@maxCountTargetResources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Pr="008271CE" w:rsidRDefault="008271CE" w:rsidP="008271CE">
            <w:r>
              <w:t>…</w:t>
            </w:r>
          </w:p>
        </w:tc>
        <w:tc>
          <w:tcPr>
            <w:tcW w:w="2106" w:type="dxa"/>
          </w:tcPr>
          <w:p w:rsidR="004848D9" w:rsidRPr="008271CE" w:rsidRDefault="004848D9"/>
        </w:tc>
        <w:tc>
          <w:tcPr>
            <w:tcW w:w="2086" w:type="dxa"/>
          </w:tcPr>
          <w:p w:rsidR="004848D9" w:rsidRPr="008271CE" w:rsidRDefault="004848D9"/>
        </w:tc>
        <w:tc>
          <w:tcPr>
            <w:tcW w:w="2054" w:type="dxa"/>
          </w:tcPr>
          <w:p w:rsidR="004848D9" w:rsidRPr="008271CE" w:rsidRDefault="004848D9"/>
        </w:tc>
      </w:tr>
    </w:tbl>
    <w:p w:rsidR="00377762" w:rsidRDefault="00377762" w:rsidP="00886A98">
      <w:pPr>
        <w:rPr>
          <w:lang w:val="en-US"/>
        </w:rPr>
      </w:pPr>
    </w:p>
    <w:sectPr w:rsidR="00377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473CF"/>
    <w:rsid w:val="000D173E"/>
    <w:rsid w:val="001202CD"/>
    <w:rsid w:val="00212545"/>
    <w:rsid w:val="003274EA"/>
    <w:rsid w:val="00340F16"/>
    <w:rsid w:val="00377762"/>
    <w:rsid w:val="00481CAA"/>
    <w:rsid w:val="004848D9"/>
    <w:rsid w:val="00486A75"/>
    <w:rsid w:val="004B3C0E"/>
    <w:rsid w:val="004F6DBC"/>
    <w:rsid w:val="00585E5A"/>
    <w:rsid w:val="00590BC6"/>
    <w:rsid w:val="0061561E"/>
    <w:rsid w:val="00652DFB"/>
    <w:rsid w:val="0068784D"/>
    <w:rsid w:val="006D750B"/>
    <w:rsid w:val="007330F5"/>
    <w:rsid w:val="008271CE"/>
    <w:rsid w:val="008749AD"/>
    <w:rsid w:val="00886A98"/>
    <w:rsid w:val="008A37FE"/>
    <w:rsid w:val="009C0083"/>
    <w:rsid w:val="009C6830"/>
    <w:rsid w:val="009D1BFC"/>
    <w:rsid w:val="00BB2EE3"/>
    <w:rsid w:val="00BC5AD2"/>
    <w:rsid w:val="00C56690"/>
    <w:rsid w:val="00CB2921"/>
    <w:rsid w:val="00CC03D5"/>
    <w:rsid w:val="00CC55C2"/>
    <w:rsid w:val="00DB2758"/>
    <w:rsid w:val="00E813D2"/>
    <w:rsid w:val="00EA1B5B"/>
    <w:rsid w:val="00EA52E2"/>
    <w:rsid w:val="00EE381D"/>
    <w:rsid w:val="00F41DB9"/>
    <w:rsid w:val="00F702F8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28</cp:revision>
  <dcterms:created xsi:type="dcterms:W3CDTF">2020-09-15T18:45:00Z</dcterms:created>
  <dcterms:modified xsi:type="dcterms:W3CDTF">2020-09-15T18:56:00Z</dcterms:modified>
</cp:coreProperties>
</file>