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eeb5bf11c762b8ec02d917c12482648c795717"/>
    <w:p>
      <w:pPr>
        <w:pStyle w:val="Heading1"/>
      </w:pPr>
      <w:r>
        <w:t xml:space="preserve">ДЕПАРТАМЕНТ ПО УПРАВЛЕНИЮ ОПЕРАЦИОННЫМИ ДОХОДАМИ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Баландина Ольга Александровна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22 сотрудника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маржинальность туристического продукта на 2 п.п. (с 12% до 14%) к 31.12.2026 через оптимизацию закупочных условий с поставщиками и динамическое ценообразование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Формирование продуктового портфеля компании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формирование плана действий на год, квартал, месяц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формирование туристического 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поддержание жизнедеятельности 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создание и разработка турпродукта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анализ конкурентоспособности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работа с поставщиками по инсентивам и кик-бекам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Увеличение маржинальности по продукту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FIT (рук. Писцова): анализ рынка и спроса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FIT (рук. Писцова): выбор поставщиков наземных и транспортных услуг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FIT (рук. Писцова): текущий контроль и корректировки продукта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ЮВА (рук. Черепова): формирование плана действий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ЮВА (рук. Черепова): работа с поставщиками и авиакомпаниями</w:t>
      </w:r>
    </w:p>
    <w:p>
      <w:pPr>
        <w:pStyle w:val="Compact"/>
        <w:numPr>
          <w:ilvl w:val="1"/>
          <w:numId w:val="1003"/>
        </w:numPr>
      </w:pPr>
      <w:r>
        <w:t xml:space="preserve">→ Отдел продукта — ЮВА (рук. Черепова): эксклюзивные условия и бонусы от партнёров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Оптимизация закупочных условий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формирование чартерного продукта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оформление чартерного продукта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обеспечение конкурентности предложения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формирование чартерного продукта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оформление чартерного продукта</w:t>
      </w:r>
    </w:p>
    <w:p>
      <w:pPr>
        <w:pStyle w:val="Compact"/>
        <w:numPr>
          <w:ilvl w:val="1"/>
          <w:numId w:val="1004"/>
        </w:numPr>
      </w:pPr>
      <w:r>
        <w:t xml:space="preserve">→ Чартерная группа (рук. Зайцев): обеспечение конкурентности предложения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AUTO-003: Динамическое ценообразование чартеров — 55 ч/мес</w:t>
      </w:r>
      <w:r>
        <w:t xml:space="preserve"> </w:t>
      </w:r>
      <w:r>
        <w:t xml:space="preserve">- AUTO-015: Матчинг гостиниц — 50 ч/мес</w:t>
      </w:r>
      <w:r>
        <w:t xml:space="preserve"> </w:t>
      </w:r>
      <w:r>
        <w:t xml:space="preserve">- AUTO-018: Парсинг цен конкурентов — 28 ч/мес</w:t>
      </w:r>
      <w:r>
        <w:t xml:space="preserve"> </w:t>
      </w:r>
      <w:r>
        <w:t xml:space="preserve">- AUTO-034: Проверка ошибок в тарификации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TZ-11: Парсинг цен конкурентов — 150 ч/ч, 450 000 руб.</w:t>
      </w:r>
      <w:r>
        <w:t xml:space="preserve"> </w:t>
      </w:r>
      <w:r>
        <w:t xml:space="preserve">- TZ-13: Динамическое ценообразование — 2 000 ч/ч, 6 000 000 руб.</w:t>
      </w:r>
      <w:r>
        <w:t xml:space="preserve"> </w:t>
      </w:r>
      <w:r>
        <w:t xml:space="preserve">- TZ-17: Матчинг гостиниц — 440 ч/ч, 1 320 000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Обеспечить 95% доступность актуального продуктового портфеля на сайте к 30.06.2026 через автоматизацию процесса публикации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Обеспечение жизнедеятельности продукта</w:t>
      </w:r>
    </w:p>
    <w:p>
      <w:pPr>
        <w:pStyle w:val="Compact"/>
        <w:numPr>
          <w:ilvl w:val="1"/>
          <w:numId w:val="1006"/>
        </w:numPr>
      </w:pPr>
      <w:r>
        <w:t xml:space="preserve">→ Группа тарификации (рук. Ильясова): расчёт и публикация цен в онлайне</w:t>
      </w:r>
    </w:p>
    <w:p>
      <w:pPr>
        <w:pStyle w:val="Compact"/>
        <w:numPr>
          <w:ilvl w:val="1"/>
          <w:numId w:val="1006"/>
        </w:numPr>
      </w:pPr>
      <w:r>
        <w:t xml:space="preserve">→ Группа тарификации (рук. Ильясова): ценообразование компании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Своевременная публикация цен</w:t>
      </w:r>
    </w:p>
    <w:p>
      <w:pPr>
        <w:pStyle w:val="Compact"/>
        <w:numPr>
          <w:ilvl w:val="1"/>
          <w:numId w:val="1007"/>
        </w:numPr>
      </w:pPr>
      <w:r>
        <w:t xml:space="preserve">→ Группа тарификации (рук. Ильясова): информирование о продлении продукта</w:t>
      </w:r>
    </w:p>
    <w:p>
      <w:pPr>
        <w:pStyle w:val="Compact"/>
        <w:numPr>
          <w:ilvl w:val="1"/>
          <w:numId w:val="1007"/>
        </w:numPr>
      </w:pPr>
      <w:r>
        <w:t xml:space="preserve">→ Группа тарификации (рук. Ильясова): расчёт и публикация цен в онлайне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Актуализация каталога</w:t>
      </w:r>
    </w:p>
    <w:p>
      <w:pPr>
        <w:pStyle w:val="Compact"/>
        <w:numPr>
          <w:ilvl w:val="1"/>
          <w:numId w:val="1008"/>
        </w:numPr>
      </w:pPr>
      <w:r>
        <w:t xml:space="preserve">→ Группа тарификации (рук. Ильясова): ценообразование компании</w:t>
      </w:r>
    </w:p>
    <w:p>
      <w:pPr>
        <w:pStyle w:val="Compact"/>
        <w:numPr>
          <w:ilvl w:val="1"/>
          <w:numId w:val="1008"/>
        </w:numPr>
      </w:pPr>
      <w:r>
        <w:t xml:space="preserve">→ Группа тарификации (рук. Ильясова): информирование о продлении продукта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AUTO-016: Ревизия мёртвых туров — 18 ч/мес</w:t>
      </w:r>
      <w:r>
        <w:t xml:space="preserve"> </w:t>
      </w:r>
      <w:r>
        <w:t xml:space="preserve">- AUTO-017: Алерты истечения цен — 15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TZ-03: Алерты и отчёты САМО — 66 ч/ч, 198 000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Обеспечить диверсификацию продуктового портфеля: индекс концентрации HHI менее 0.25 к 31.12.2026, присутствие в ТОП-5 альтернативных направлений с долей не менее 5% каждое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Формирование продуктового портфеля</w:t>
      </w:r>
    </w:p>
    <w:p>
      <w:pPr>
        <w:pStyle w:val="Compact"/>
        <w:numPr>
          <w:ilvl w:val="1"/>
          <w:numId w:val="1010"/>
        </w:numPr>
      </w:pPr>
      <w:r>
        <w:t xml:space="preserve">→ Отдел продукта — Ближний Восток (рук. Андреева): формирование бюджета и дорожной карты</w:t>
      </w:r>
    </w:p>
    <w:p>
      <w:pPr>
        <w:pStyle w:val="Compact"/>
        <w:numPr>
          <w:ilvl w:val="1"/>
          <w:numId w:val="1010"/>
        </w:numPr>
      </w:pPr>
      <w:r>
        <w:t xml:space="preserve">→ Отдел продукта — Ближний Восток (рук. Андреева): поиск поставщиков для новых направлений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Развитие новых направлений</w:t>
      </w:r>
    </w:p>
    <w:p>
      <w:pPr>
        <w:pStyle w:val="Compact"/>
        <w:numPr>
          <w:ilvl w:val="1"/>
          <w:numId w:val="1011"/>
        </w:numPr>
      </w:pPr>
      <w:r>
        <w:t xml:space="preserve">→ Отдел продукта — Ближний Восток (рук. Андреева): контроль продаж и рентабельности</w:t>
      </w:r>
    </w:p>
    <w:p>
      <w:pPr>
        <w:pStyle w:val="Compact"/>
        <w:numPr>
          <w:ilvl w:val="1"/>
          <w:numId w:val="1011"/>
        </w:numPr>
      </w:pPr>
      <w:r>
        <w:t xml:space="preserve">→ Отдел продукта — Ближний Восток (рук. Андреева): формирование бюджета и дорожной карты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Снижение зависимости от ключевых направлений</w:t>
      </w:r>
    </w:p>
    <w:p>
      <w:pPr>
        <w:pStyle w:val="Compact"/>
        <w:numPr>
          <w:ilvl w:val="1"/>
          <w:numId w:val="1012"/>
        </w:numPr>
      </w:pPr>
      <w:r>
        <w:t xml:space="preserve">→ Отдел продукта — Ближний Восток (рук. Андреева): поиск поставщиков для новых направлений</w:t>
      </w:r>
    </w:p>
    <w:p>
      <w:pPr>
        <w:pStyle w:val="Compact"/>
        <w:numPr>
          <w:ilvl w:val="1"/>
          <w:numId w:val="1012"/>
        </w:numPr>
      </w:pPr>
      <w:r>
        <w:t xml:space="preserve">→ Отдел продукта — Ближний Восток (рук. Андреева): контроль продаж и рентабельности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Используются AUTO-015 и AUTO-018 из Цели 1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-критическая"/>
    <w:p>
      <w:pPr>
        <w:pStyle w:val="Heading2"/>
      </w:pPr>
      <w:r>
        <w:t xml:space="preserve">ЦЕЛЬ 4 (КРИТИЧЕСКАЯ)</w:t>
      </w:r>
    </w:p>
    <w:p>
      <w:pPr>
        <w:pStyle w:val="FirstParagraph"/>
      </w:pPr>
      <w:r>
        <w:t xml:space="preserve">Сократить Time-to-Market нового направления до 30 дней к 31.12.2026 (с текущих 60+ дней) — от решения о запуске до первой продажи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Ускорение вывода продукта на рынок</w:t>
      </w:r>
    </w:p>
    <w:p>
      <w:pPr>
        <w:pStyle w:val="Compact"/>
        <w:numPr>
          <w:ilvl w:val="1"/>
          <w:numId w:val="1014"/>
        </w:numPr>
      </w:pPr>
      <w:r>
        <w:t xml:space="preserve">→ Отдел продукта — Экзотика (рук. Цехович): сбор и анализ возможностей</w:t>
      </w:r>
    </w:p>
    <w:p>
      <w:pPr>
        <w:pStyle w:val="Compact"/>
        <w:numPr>
          <w:ilvl w:val="1"/>
          <w:numId w:val="1014"/>
        </w:numPr>
      </w:pPr>
      <w:r>
        <w:t xml:space="preserve">→ Отдел продукта — Экзотика (рук. Цехович): формирование продуктового плана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Оптимизация процессов согласования</w:t>
      </w:r>
    </w:p>
    <w:p>
      <w:pPr>
        <w:pStyle w:val="Compact"/>
        <w:numPr>
          <w:ilvl w:val="1"/>
          <w:numId w:val="1015"/>
        </w:numPr>
      </w:pPr>
      <w:r>
        <w:t xml:space="preserve">→ Отдел продукта — Экзотика (рук. Цехович): переговоры с поставщиками</w:t>
      </w:r>
    </w:p>
    <w:p>
      <w:pPr>
        <w:pStyle w:val="Compact"/>
        <w:numPr>
          <w:ilvl w:val="1"/>
          <w:numId w:val="1015"/>
        </w:numPr>
      </w:pPr>
      <w:r>
        <w:t xml:space="preserve">→ Отдел продукта — Экзотика (рук. Цехович): сбор и анализ возможностей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Стандартизация запуска направлений</w:t>
      </w:r>
    </w:p>
    <w:p>
      <w:pPr>
        <w:pStyle w:val="Compact"/>
        <w:numPr>
          <w:ilvl w:val="1"/>
          <w:numId w:val="1016"/>
        </w:numPr>
      </w:pPr>
      <w:r>
        <w:t xml:space="preserve">→ Отдел продукта — Экзотика (рук. Цехович): формирование продуктового плана</w:t>
      </w:r>
    </w:p>
    <w:p>
      <w:pPr>
        <w:pStyle w:val="Compact"/>
        <w:numPr>
          <w:ilvl w:val="1"/>
          <w:numId w:val="1016"/>
        </w:numPr>
      </w:pPr>
      <w:r>
        <w:t xml:space="preserve">→ Отдел продукта — Экзотика (рук. Цехович): переговоры с поставщиками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Используются AUTO-016 и AUTO-017 из Цели 2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Анкета L2: Чартерная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AUTO-016</w:t>
            </w:r>
          </w:p>
        </w:tc>
        <w:tc>
          <w:tcPr/>
          <w:p>
            <w:pPr>
              <w:pStyle w:val="Compact"/>
            </w:pPr>
            <w:r>
              <w:t xml:space="preserve">Ревизия мёртвых туров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AUTO-017</w:t>
            </w:r>
          </w:p>
        </w:tc>
        <w:tc>
          <w:tcPr/>
          <w:p>
            <w:pPr>
              <w:pStyle w:val="Compact"/>
            </w:pPr>
            <w:r>
              <w:t xml:space="preserve">Алерты истечения цен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AUTO-018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AUTO-034</w:t>
            </w:r>
          </w:p>
        </w:tc>
        <w:tc>
          <w:tcPr/>
          <w:p>
            <w:pPr>
              <w:pStyle w:val="Compact"/>
            </w:pPr>
            <w:r>
              <w:t xml:space="preserve">Проверка ошибок тарификации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183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- 55+50+18+15+28+17 = 183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183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108 885 руб/мес</w:t>
            </w:r>
          </w:p>
        </w:tc>
        <w:tc>
          <w:tcPr/>
          <w:p>
            <w:pPr>
              <w:pStyle w:val="Compact"/>
            </w:pPr>
            <w:r>
              <w:t xml:space="preserve">183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1 306 620 руб/год</w:t>
            </w:r>
          </w:p>
        </w:tc>
        <w:tc>
          <w:tcPr/>
          <w:p>
            <w:pPr>
              <w:pStyle w:val="Compact"/>
            </w:pPr>
            <w:r>
              <w:t xml:space="preserve">108 885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Алерты и отчёты САМО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Маржинальность +2 п.п.</w:t>
            </w:r>
          </w:p>
        </w:tc>
        <w:tc>
          <w:tcPr/>
          <w:p>
            <w:pPr>
              <w:pStyle w:val="Compact"/>
            </w:pPr>
            <w:r>
              <w:t xml:space="preserve">150 ч/мес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Доступность 95%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Диверсификация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4: Time-to-Market 30 дней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183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AUTO-003</w:t>
      </w:r>
      <w:r>
        <w:t xml:space="preserve"> </w:t>
      </w:r>
      <w:r>
        <w:t xml:space="preserve">- AUTO-015</w:t>
      </w:r>
      <w:r>
        <w:t xml:space="preserve"> </w:t>
      </w:r>
      <w:r>
        <w:t xml:space="preserve">- AUTO-018</w:t>
      </w:r>
      <w:r>
        <w:t xml:space="preserve"> </w:t>
      </w:r>
      <w:r>
        <w:t xml:space="preserve">- AUTO-034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AUTO-016</w:t>
      </w:r>
      <w:r>
        <w:t xml:space="preserve"> </w:t>
      </w:r>
      <w:r>
        <w:t xml:space="preserve">- AUTO-017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используются из Цели 1</w:t>
      </w:r>
      <w:r>
        <w:t xml:space="preserve"> </w:t>
      </w:r>
      <w:r>
        <w:t xml:space="preserve">- Цель 4:</w:t>
      </w:r>
      <w:r>
        <w:t xml:space="preserve"> </w:t>
      </w:r>
      <w:r>
        <w:t xml:space="preserve">- используются из Цели 2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