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bp-02-маркетинговая-кампания"/>
    <w:p>
      <w:pPr>
        <w:pStyle w:val="Heading1"/>
      </w:pPr>
      <w:r>
        <w:t xml:space="preserve">BP-02: Маркетинговая кампания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46"/>
        <w:gridCol w:w="7253"/>
      </w:tblGrid>
      <w:tr>
        <w:trPr>
          <w:tblHeader w:val="on"/>
        </w:trPr>
        <w:tc>
          <w:tcPr>
            <w:tcW w:w="234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34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5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25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>
            <w:tcW w:w="7253" w:type="dxa"/>
          </w:tcPr>
          <w:tcPr/>
          <w:tcPr>
            <w:tcW w:w="7253" w:type="dxa"/>
          </w:tcPr>
          <w:p>
            <w:pPr>
              <w:pStyle w:val="Compact"/>
            </w:pPr>
            <w:r>
              <w:t xml:space="preserve">BP-02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253" w:type="dxa"/>
          </w:tcPr>
          <w:tcPr/>
          <w:tcPr>
            <w:tcW w:w="7253" w:type="dxa"/>
          </w:tcPr>
          <w:p>
            <w:pPr>
              <w:pStyle w:val="Compact"/>
            </w:pPr>
            <w:r>
              <w:t xml:space="preserve">Маркетинговая кампания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7253" w:type="dxa"/>
          </w:tcPr>
          <w:tcPr/>
          <w:tcPr>
            <w:tcW w:w="7253" w:type="dxa"/>
          </w:tcPr>
          <w:p>
            <w:pPr>
              <w:pStyle w:val="Compact"/>
            </w:pPr>
            <w:r>
              <w:t xml:space="preserve">Директор Департамента маркетинга (ВАКАНСИЯ)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Фактическое управление</w:t>
            </w:r>
          </w:p>
        </w:tc>
        <w:tc>
          <w:tcPr>
            <w:tcW w:w="7253" w:type="dxa"/>
          </w:tcPr>
          <w:tcPr/>
          <w:tcPr>
            <w:tcW w:w="7253" w:type="dxa"/>
          </w:tcPr>
          <w:p>
            <w:pPr>
              <w:pStyle w:val="Compact"/>
            </w:pPr>
            <w:r>
              <w:t xml:space="preserve">Колдаева А.В. (Отдел рекламы), Седых (Контент), Четверик (Маркетинг)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7253" w:type="dxa"/>
          </w:tcPr>
          <w:tcPr/>
          <w:tcPr>
            <w:tcW w:w="7253" w:type="dxa"/>
          </w:tcPr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>
            <w:tcW w:w="7253" w:type="dxa"/>
          </w:tcPr>
          <w:tcPr/>
          <w:tcPr>
            <w:tcW w:w="7253" w:type="dxa"/>
          </w:tcPr>
          <w:p>
            <w:pPr>
              <w:pStyle w:val="Compact"/>
            </w:pPr>
            <w:r>
              <w:t xml:space="preserve">Лидогенерация, узнаваемость бренда, партнёрские бюджеты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253" w:type="dxa"/>
          </w:tcPr>
          <w:tcPr/>
          <w:tcPr>
            <w:tcW w:w="7253" w:type="dxa"/>
          </w:tcPr>
          <w:p>
            <w:pPr>
              <w:pStyle w:val="Compact"/>
            </w:pPr>
            <w:r>
              <w:t xml:space="preserve">10-20 кампаний/месяц (различного масштаба)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границы-процесса"/>
    <w:p>
      <w:pPr>
        <w:pStyle w:val="Heading2"/>
      </w:pPr>
      <w:r>
        <w:t xml:space="preserve">2. Границы процесса</w:t>
      </w:r>
    </w:p>
    <w:bookmarkStart w:id="10" w:name="триггер-вход"/>
    <w:p>
      <w:pPr>
        <w:pStyle w:val="Heading3"/>
      </w:pPr>
      <w:r>
        <w:t xml:space="preserve">Триггер (вход)</w:t>
      </w:r>
    </w:p>
    <w:p>
      <w:pPr>
        <w:pStyle w:val="Compact"/>
        <w:numPr>
          <w:ilvl w:val="0"/>
          <w:numId w:val="1001"/>
        </w:numPr>
      </w:pPr>
      <w:r>
        <w:t xml:space="preserve">Запрос партнёра на совместное мероприятие/рекламу</w:t>
      </w:r>
    </w:p>
    <w:p>
      <w:pPr>
        <w:pStyle w:val="Compact"/>
        <w:numPr>
          <w:ilvl w:val="0"/>
          <w:numId w:val="1001"/>
        </w:numPr>
      </w:pPr>
      <w:r>
        <w:t xml:space="preserve">Запрос от Отдела продукта на продвижение направления</w:t>
      </w:r>
    </w:p>
    <w:p>
      <w:pPr>
        <w:pStyle w:val="Compact"/>
        <w:numPr>
          <w:ilvl w:val="0"/>
          <w:numId w:val="1001"/>
        </w:numPr>
      </w:pPr>
      <w:r>
        <w:t xml:space="preserve">Плановая маркетинговая активность (из годового плана)</w:t>
      </w:r>
    </w:p>
    <w:p>
      <w:pPr>
        <w:pStyle w:val="Compact"/>
        <w:numPr>
          <w:ilvl w:val="0"/>
          <w:numId w:val="1001"/>
        </w:numPr>
      </w:pPr>
      <w:r>
        <w:t xml:space="preserve">Запуск нового продукта или направления</w:t>
      </w:r>
    </w:p>
    <w:bookmarkEnd w:id="10"/>
    <w:bookmarkStart w:id="11" w:name="результат-выход"/>
    <w:p>
      <w:pPr>
        <w:pStyle w:val="Heading3"/>
      </w:pPr>
      <w:r>
        <w:t xml:space="preserve">Результат (выход)</w:t>
      </w:r>
    </w:p>
    <w:p>
      <w:pPr>
        <w:pStyle w:val="Compact"/>
        <w:numPr>
          <w:ilvl w:val="0"/>
          <w:numId w:val="1002"/>
        </w:numPr>
      </w:pPr>
      <w:r>
        <w:t xml:space="preserve">Проведённая кампания/мероприятие</w:t>
      </w:r>
    </w:p>
    <w:p>
      <w:pPr>
        <w:pStyle w:val="Compact"/>
        <w:numPr>
          <w:ilvl w:val="0"/>
          <w:numId w:val="1002"/>
        </w:numPr>
      </w:pPr>
      <w:r>
        <w:t xml:space="preserve">Привлечённые лиды (для B2C) или охват агентов (для B2B)</w:t>
      </w:r>
    </w:p>
    <w:p>
      <w:pPr>
        <w:pStyle w:val="Compact"/>
        <w:numPr>
          <w:ilvl w:val="0"/>
          <w:numId w:val="1002"/>
        </w:numPr>
      </w:pPr>
      <w:r>
        <w:t xml:space="preserve">Измеренный ROI (при наличии аналитики)</w:t>
      </w:r>
    </w:p>
    <w:p>
      <w:pPr>
        <w:pStyle w:val="Compact"/>
        <w:numPr>
          <w:ilvl w:val="0"/>
          <w:numId w:val="1002"/>
        </w:numPr>
      </w:pPr>
      <w:r>
        <w:t xml:space="preserve">Отчёт для партнёра (при партнёрской кампании)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участники-процесса"/>
    <w:p>
      <w:pPr>
        <w:pStyle w:val="Heading2"/>
      </w:pPr>
      <w:r>
        <w:t xml:space="preserve">3. Участники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31"/>
        <w:gridCol w:w="3051"/>
        <w:gridCol w:w="776"/>
        <w:gridCol w:w="4040"/>
      </w:tblGrid>
      <w:tr>
        <w:trPr>
          <w:tblHeader w:val="on"/>
        </w:trPr>
        <w:tc>
          <w:tcPr>
            <w:tcW w:w="173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73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05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5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Подразделение</w:t>
            </w:r>
          </w:p>
        </w:tc>
        <w:tc>
          <w:tcPr>
            <w:tcW w:w="77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7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404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4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Менеджер по рекламе</w:t>
            </w:r>
          </w:p>
        </w:tc>
        <w:tc>
          <w:tcPr>
            <w:tcW w:w="3051" w:type="dxa"/>
          </w:tcPr>
          <w:tcPr/>
          <w:tcPr>
            <w:tcW w:w="3051" w:type="dxa"/>
          </w:tcPr>
          <w:p>
            <w:pPr>
              <w:pStyle w:val="Compact"/>
            </w:pPr>
            <w:r>
              <w:t xml:space="preserve">Отдел рекламы</w:t>
            </w:r>
          </w:p>
        </w:tc>
        <w:tc>
          <w:tcPr>
            <w:tcW w:w="776" w:type="dxa"/>
          </w:tcPr>
          <w:tcPr/>
          <w:tcPr>
            <w:tcW w:w="776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4040" w:type="dxa"/>
          </w:tcPr>
          <w:tcPr/>
          <w:tcPr>
            <w:tcW w:w="4040" w:type="dxa"/>
          </w:tcPr>
          <w:p>
            <w:pPr>
              <w:pStyle w:val="Compact"/>
            </w:pPr>
            <w:r>
              <w:t xml:space="preserve">Организация мероприятий, работа с партнёрами, СМИ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Контент-менеджер</w:t>
            </w:r>
          </w:p>
        </w:tc>
        <w:tc>
          <w:tcPr>
            <w:tcW w:w="3051" w:type="dxa"/>
          </w:tcPr>
          <w:tcPr/>
          <w:tcPr>
            <w:tcW w:w="3051" w:type="dxa"/>
          </w:tcPr>
          <w:p>
            <w:pPr>
              <w:pStyle w:val="Compact"/>
            </w:pPr>
            <w:r>
              <w:t xml:space="preserve">Отдел контент-маркетинга</w:t>
            </w:r>
          </w:p>
        </w:tc>
        <w:tc>
          <w:tcPr>
            <w:tcW w:w="776" w:type="dxa"/>
          </w:tcPr>
          <w:tcPr/>
          <w:tcPr>
            <w:tcW w:w="776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4040" w:type="dxa"/>
          </w:tcPr>
          <w:tcPr/>
          <w:tcPr>
            <w:tcW w:w="4040" w:type="dxa"/>
          </w:tcPr>
          <w:p>
            <w:pPr>
              <w:pStyle w:val="Compact"/>
            </w:pPr>
            <w:r>
              <w:t xml:space="preserve">Тексты, дизайн, email-рассылки, вебинары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Маркетолог</w:t>
            </w:r>
          </w:p>
        </w:tc>
        <w:tc>
          <w:tcPr>
            <w:tcW w:w="3051" w:type="dxa"/>
          </w:tcPr>
          <w:tcPr/>
          <w:tcPr>
            <w:tcW w:w="3051" w:type="dxa"/>
          </w:tcPr>
          <w:p>
            <w:pPr>
              <w:pStyle w:val="Compact"/>
            </w:pPr>
            <w:r>
              <w:t xml:space="preserve">Отдел маркетинга</w:t>
            </w:r>
          </w:p>
        </w:tc>
        <w:tc>
          <w:tcPr>
            <w:tcW w:w="776" w:type="dxa"/>
          </w:tcPr>
          <w:tcPr/>
          <w:tcPr>
            <w:tcW w:w="77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040" w:type="dxa"/>
          </w:tcPr>
          <w:tcPr/>
          <w:tcPr>
            <w:tcW w:w="4040" w:type="dxa"/>
          </w:tcPr>
          <w:p>
            <w:pPr>
              <w:pStyle w:val="Compact"/>
            </w:pPr>
            <w:r>
              <w:t xml:space="preserve">Аналитика, B2C-реклама, RoiStat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КАМ</w:t>
            </w:r>
          </w:p>
        </w:tc>
        <w:tc>
          <w:tcPr>
            <w:tcW w:w="3051" w:type="dxa"/>
          </w:tcPr>
          <w:tcPr/>
          <w:tcPr>
            <w:tcW w:w="3051" w:type="dxa"/>
          </w:tcPr>
          <w:p>
            <w:pPr>
              <w:pStyle w:val="Compact"/>
            </w:pPr>
            <w:r>
              <w:t xml:space="preserve">Отдел по работе с ключевыми клиентами</w:t>
            </w:r>
          </w:p>
        </w:tc>
        <w:tc>
          <w:tcPr>
            <w:tcW w:w="776" w:type="dxa"/>
          </w:tcPr>
          <w:tcPr/>
          <w:tcPr>
            <w:tcW w:w="776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4040" w:type="dxa"/>
          </w:tcPr>
          <w:tcPr/>
          <w:tcPr>
            <w:tcW w:w="4040" w:type="dxa"/>
          </w:tcPr>
          <w:p>
            <w:pPr>
              <w:pStyle w:val="Compact"/>
            </w:pPr>
            <w:r>
              <w:t xml:space="preserve">Набор агентов на мероприятия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Региональный менеджер</w:t>
            </w:r>
          </w:p>
        </w:tc>
        <w:tc>
          <w:tcPr>
            <w:tcW w:w="3051" w:type="dxa"/>
          </w:tcPr>
          <w:tcPr/>
          <w:tcPr>
            <w:tcW w:w="3051" w:type="dxa"/>
          </w:tcPr>
          <w:p>
            <w:pPr>
              <w:pStyle w:val="Compact"/>
            </w:pPr>
            <w:r>
              <w:t xml:space="preserve">Региональные офисы</w:t>
            </w:r>
          </w:p>
        </w:tc>
        <w:tc>
          <w:tcPr>
            <w:tcW w:w="776" w:type="dxa"/>
          </w:tcPr>
          <w:tcPr/>
          <w:tcPr>
            <w:tcW w:w="776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4040" w:type="dxa"/>
          </w:tcPr>
          <w:tcPr/>
          <w:tcPr>
            <w:tcW w:w="4040" w:type="dxa"/>
          </w:tcPr>
          <w:p>
            <w:pPr>
              <w:pStyle w:val="Compact"/>
            </w:pPr>
            <w:r>
              <w:t xml:space="preserve">Мероприятия в регионах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t xml:space="preserve">Продуктолог</w:t>
            </w:r>
          </w:p>
        </w:tc>
        <w:tc>
          <w:tcPr>
            <w:tcW w:w="3051" w:type="dxa"/>
          </w:tcPr>
          <w:tcPr/>
          <w:tcPr>
            <w:tcW w:w="3051" w:type="dxa"/>
          </w:tcPr>
          <w:p>
            <w:pPr>
              <w:pStyle w:val="Compact"/>
            </w:pPr>
            <w:r>
              <w:t xml:space="preserve">Отдел продукта</w:t>
            </w:r>
          </w:p>
        </w:tc>
        <w:tc>
          <w:tcPr>
            <w:tcW w:w="776" w:type="dxa"/>
          </w:tcPr>
          <w:tcPr/>
          <w:tcPr>
            <w:tcW w:w="776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4040" w:type="dxa"/>
          </w:tcPr>
          <w:tcPr/>
          <w:tcPr>
            <w:tcW w:w="4040" w:type="dxa"/>
          </w:tcPr>
          <w:p>
            <w:pPr>
              <w:pStyle w:val="Compact"/>
            </w:pPr>
            <w:r>
              <w:t xml:space="preserve">Информация о направлении</w:t>
            </w:r>
          </w:p>
        </w:tc>
      </w:tr>
      <w:tr>
        <w:tc>
          <w:tcPr>
            <w:tcW w:w="1731" w:type="dxa"/>
          </w:tcPr>
          <w:tcPr/>
          <w:tcPr>
            <w:tcW w:w="173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3051" w:type="dxa"/>
          </w:tcPr>
          <w:tcPr/>
          <w:tcPr>
            <w:tcW w:w="3051" w:type="dxa"/>
          </w:tcPr>
          <w:p>
            <w:pPr>
              <w:pStyle w:val="Compact"/>
            </w:pPr>
            <w:r>
              <w:t xml:space="preserve">6 подразделений</w:t>
            </w:r>
          </w:p>
        </w:tc>
        <w:tc>
          <w:tcPr>
            <w:tcW w:w="776" w:type="dxa"/>
          </w:tcPr>
          <w:tcPr/>
          <w:tcPr>
            <w:tcW w:w="7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w="4040" w:type="dxa"/>
          </w:tcPr>
          <w:tcPr/>
          <w:tcPr>
            <w:tcW w:w="404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типы-маркетинговых-кампаний"/>
    <w:p>
      <w:pPr>
        <w:pStyle w:val="Heading2"/>
      </w:pPr>
      <w:r>
        <w:t xml:space="preserve">4. Типы маркетинговых кампаний</w:t>
      </w:r>
    </w:p>
    <w:bookmarkStart w:id="14" w:name="мероприятия-с-партнёрами-b2b"/>
    <w:p>
      <w:pPr>
        <w:pStyle w:val="Heading3"/>
      </w:pPr>
      <w:r>
        <w:t xml:space="preserve">4.1. Мероприятия с партнёрами (B2B)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Бизнес-завтраки, презентации отелей/направлений для агентств.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41"/>
        <w:gridCol w:w="7058"/>
      </w:tblGrid>
      <w:tr>
        <w:trPr>
          <w:tblHeader w:val="on"/>
        </w:trPr>
        <w:tc>
          <w:tcPr>
            <w:tcW w:w="254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4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05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05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541" w:type="dxa"/>
          </w:tcPr>
          <w:tcPr/>
          <w:tcPr>
            <w:tcW w:w="2541" w:type="dxa"/>
          </w:tcPr>
          <w:p>
            <w:pPr>
              <w:pStyle w:val="Compact"/>
            </w:pPr>
            <w:r>
              <w:t xml:space="preserve">Частота</w:t>
            </w:r>
          </w:p>
        </w:tc>
        <w:tc>
          <w:tcPr>
            <w:tcW w:w="7058" w:type="dxa"/>
          </w:tcPr>
          <w:tcPr/>
          <w:tcPr>
            <w:tcW w:w="7058" w:type="dxa"/>
          </w:tcPr>
          <w:p>
            <w:pPr>
              <w:pStyle w:val="Compact"/>
            </w:pPr>
            <w:r>
              <w:t xml:space="preserve">2-4 мероприятия/месяц</w:t>
            </w:r>
          </w:p>
        </w:tc>
      </w:tr>
      <w:tr>
        <w:tc>
          <w:tcPr>
            <w:tcW w:w="2541" w:type="dxa"/>
          </w:tcPr>
          <w:tcPr/>
          <w:tcPr>
            <w:tcW w:w="2541" w:type="dxa"/>
          </w:tcPr>
          <w:p>
            <w:pPr>
              <w:pStyle w:val="Compact"/>
            </w:pPr>
            <w:r>
              <w:t xml:space="preserve">Бюджет</w:t>
            </w:r>
          </w:p>
        </w:tc>
        <w:tc>
          <w:tcPr>
            <w:tcW w:w="7058" w:type="dxa"/>
          </w:tcPr>
          <w:tcPr/>
          <w:tcPr>
            <w:tcW w:w="7058" w:type="dxa"/>
          </w:tcPr>
          <w:p>
            <w:pPr>
              <w:pStyle w:val="Compact"/>
            </w:pPr>
            <w:r>
              <w:t xml:space="preserve">Партнёрский + собственный</w:t>
            </w:r>
          </w:p>
        </w:tc>
      </w:tr>
      <w:tr>
        <w:tc>
          <w:tcPr>
            <w:tcW w:w="2541" w:type="dxa"/>
          </w:tcPr>
          <w:tcPr/>
          <w:tcPr>
            <w:tcW w:w="2541" w:type="dxa"/>
          </w:tcPr>
          <w:p>
            <w:pPr>
              <w:pStyle w:val="Compact"/>
            </w:pPr>
            <w:r>
              <w:t xml:space="preserve">Участники</w:t>
            </w:r>
          </w:p>
        </w:tc>
        <w:tc>
          <w:tcPr>
            <w:tcW w:w="7058" w:type="dxa"/>
          </w:tcPr>
          <w:tcPr/>
          <w:tcPr>
            <w:tcW w:w="7058" w:type="dxa"/>
          </w:tcPr>
          <w:p>
            <w:pPr>
              <w:pStyle w:val="Compact"/>
            </w:pPr>
            <w:r>
              <w:t xml:space="preserve">30-100 агентов</w:t>
            </w:r>
          </w:p>
        </w:tc>
      </w:tr>
      <w:tr>
        <w:tc>
          <w:tcPr>
            <w:tcW w:w="2541" w:type="dxa"/>
          </w:tcPr>
          <w:tcPr/>
          <w:tcPr>
            <w:tcW w:w="2541" w:type="dxa"/>
          </w:tcPr>
          <w:p>
            <w:pPr>
              <w:pStyle w:val="Compact"/>
            </w:pPr>
            <w:r>
              <w:t xml:space="preserve">Города</w:t>
            </w:r>
          </w:p>
        </w:tc>
        <w:tc>
          <w:tcPr>
            <w:tcW w:w="7058" w:type="dxa"/>
          </w:tcPr>
          <w:tcPr/>
          <w:tcPr>
            <w:tcW w:w="7058" w:type="dxa"/>
          </w:tcPr>
          <w:p>
            <w:pPr>
              <w:pStyle w:val="Compact"/>
            </w:pPr>
            <w:r>
              <w:t xml:space="preserve">Москва, СПб, регионы</w:t>
            </w:r>
          </w:p>
        </w:tc>
      </w:tr>
    </w:tbl>
    <w:bookmarkEnd w:id="14"/>
    <w:bookmarkStart w:id="15" w:name="маркетинговые-соглашения-с-партнёрами"/>
    <w:p>
      <w:pPr>
        <w:pStyle w:val="Heading3"/>
      </w:pPr>
      <w:r>
        <w:t xml:space="preserve">4.2. Маркетинговые соглашения с партнёрами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Комплекс активностей (рассылки, баннеры, вебинары) за партнёрский бюджет.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48"/>
        <w:gridCol w:w="6951"/>
      </w:tblGrid>
      <w:tr>
        <w:trPr>
          <w:tblHeader w:val="on"/>
        </w:trPr>
        <w:tc>
          <w:tcPr>
            <w:tcW w:w="264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4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95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95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648" w:type="dxa"/>
          </w:tcPr>
          <w:tcPr/>
          <w:tcPr>
            <w:tcW w:w="2648" w:type="dxa"/>
          </w:tcPr>
          <w:p>
            <w:pPr>
              <w:pStyle w:val="Compact"/>
            </w:pPr>
            <w:r>
              <w:t xml:space="preserve">Частота</w:t>
            </w:r>
          </w:p>
        </w:tc>
        <w:tc>
          <w:tcPr>
            <w:tcW w:w="6951" w:type="dxa"/>
          </w:tcPr>
          <w:tcPr/>
          <w:tcPr>
            <w:tcW w:w="6951" w:type="dxa"/>
          </w:tcPr>
          <w:p>
            <w:pPr>
              <w:pStyle w:val="Compact"/>
            </w:pPr>
            <w:r>
              <w:t xml:space="preserve">5-10 соглашений/месяц</w:t>
            </w:r>
          </w:p>
        </w:tc>
      </w:tr>
      <w:tr>
        <w:tc>
          <w:tcPr>
            <w:tcW w:w="2648" w:type="dxa"/>
          </w:tcPr>
          <w:tcPr/>
          <w:tcPr>
            <w:tcW w:w="2648" w:type="dxa"/>
          </w:tcPr>
          <w:p>
            <w:pPr>
              <w:pStyle w:val="Compact"/>
            </w:pPr>
            <w:r>
              <w:t xml:space="preserve">Бюджет</w:t>
            </w:r>
          </w:p>
        </w:tc>
        <w:tc>
          <w:tcPr>
            <w:tcW w:w="6951" w:type="dxa"/>
          </w:tcPr>
          <w:tcPr/>
          <w:tcPr>
            <w:tcW w:w="6951" w:type="dxa"/>
          </w:tcPr>
          <w:p>
            <w:pPr>
              <w:pStyle w:val="Compact"/>
            </w:pPr>
            <w:r>
              <w:t xml:space="preserve">100% партнёрский</w:t>
            </w:r>
          </w:p>
        </w:tc>
      </w:tr>
      <w:tr>
        <w:tc>
          <w:tcPr>
            <w:tcW w:w="2648" w:type="dxa"/>
          </w:tcPr>
          <w:tcPr/>
          <w:tcPr>
            <w:tcW w:w="2648" w:type="dxa"/>
          </w:tcPr>
          <w:p>
            <w:pPr>
              <w:pStyle w:val="Compact"/>
            </w:pPr>
            <w:r>
              <w:t xml:space="preserve">Каналы</w:t>
            </w:r>
          </w:p>
        </w:tc>
        <w:tc>
          <w:tcPr>
            <w:tcW w:w="6951" w:type="dxa"/>
          </w:tcPr>
          <w:tcPr/>
          <w:tcPr>
            <w:tcW w:w="6951" w:type="dxa"/>
          </w:tcPr>
          <w:p>
            <w:pPr>
              <w:pStyle w:val="Compact"/>
            </w:pPr>
            <w:r>
              <w:t xml:space="preserve">Email, сайт, соцсети</w:t>
            </w:r>
          </w:p>
        </w:tc>
      </w:tr>
    </w:tbl>
    <w:bookmarkEnd w:id="15"/>
    <w:bookmarkStart w:id="16" w:name="b2c-реклама"/>
    <w:p>
      <w:pPr>
        <w:pStyle w:val="Heading3"/>
      </w:pPr>
      <w:r>
        <w:t xml:space="preserve">4.3. B2C-реклама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Привлечение конечных туристов через digital-каналы.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53"/>
        <w:gridCol w:w="6646"/>
      </w:tblGrid>
      <w:tr>
        <w:trPr>
          <w:tblHeader w:val="on"/>
        </w:trPr>
        <w:tc>
          <w:tcPr>
            <w:tcW w:w="295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5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4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64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Частота</w:t>
            </w:r>
          </w:p>
        </w:tc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Бюджет</w:t>
            </w:r>
          </w:p>
        </w:tc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Собственный</w:t>
            </w:r>
          </w:p>
        </w:tc>
      </w:tr>
      <w:tr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Каналы</w:t>
            </w:r>
          </w:p>
        </w:tc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Контекст, SMM, SEO</w:t>
            </w:r>
          </w:p>
        </w:tc>
      </w:tr>
    </w:tbl>
    <w:bookmarkEnd w:id="16"/>
    <w:bookmarkStart w:id="17" w:name="вебинары-для-агентов"/>
    <w:p>
      <w:pPr>
        <w:pStyle w:val="Heading3"/>
      </w:pPr>
      <w:r>
        <w:t xml:space="preserve">4.4. Вебинары для агентов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Онлайн-презентации направлений и продуктов.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85"/>
        <w:gridCol w:w="6514"/>
      </w:tblGrid>
      <w:tr>
        <w:trPr>
          <w:tblHeader w:val="on"/>
        </w:trPr>
        <w:tc>
          <w:tcPr>
            <w:tcW w:w="308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8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51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51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Частота</w:t>
            </w:r>
          </w:p>
        </w:tc>
        <w:tc>
          <w:tcPr>
            <w:tcW w:w="6514" w:type="dxa"/>
          </w:tcPr>
          <w:tcPr/>
          <w:tcPr>
            <w:tcW w:w="6514" w:type="dxa"/>
          </w:tcPr>
          <w:p>
            <w:pPr>
              <w:pStyle w:val="Compact"/>
            </w:pPr>
            <w:r>
              <w:t xml:space="preserve">4-8 вебинаров/месяц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Платформа</w:t>
            </w:r>
          </w:p>
        </w:tc>
        <w:tc>
          <w:tcPr>
            <w:tcW w:w="6514" w:type="dxa"/>
          </w:tcPr>
          <w:tcPr/>
          <w:tcPr>
            <w:tcW w:w="6514" w:type="dxa"/>
          </w:tcPr>
          <w:p>
            <w:pPr>
              <w:pStyle w:val="Compact"/>
            </w:pPr>
            <w:r>
              <w:t xml:space="preserve">МТС Линк</w:t>
            </w:r>
          </w:p>
        </w:tc>
      </w:tr>
      <w:tr>
        <w:tc>
          <w:tcPr>
            <w:tcW w:w="3085" w:type="dxa"/>
          </w:tcPr>
          <w:tcPr/>
          <w:tcPr>
            <w:tcW w:w="3085" w:type="dxa"/>
          </w:tcPr>
          <w:p>
            <w:pPr>
              <w:pStyle w:val="Compact"/>
            </w:pPr>
            <w:r>
              <w:t xml:space="preserve">Участники</w:t>
            </w:r>
          </w:p>
        </w:tc>
        <w:tc>
          <w:tcPr>
            <w:tcW w:w="6514" w:type="dxa"/>
          </w:tcPr>
          <w:tcPr/>
          <w:tcPr>
            <w:tcW w:w="6514" w:type="dxa"/>
          </w:tcPr>
          <w:p>
            <w:pPr>
              <w:pStyle w:val="Compact"/>
            </w:pPr>
            <w:r>
              <w:t xml:space="preserve">50-200 агентов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Xbe75cefaefe886af1403697c4d73e1c93e2bb66"/>
    <w:p>
      <w:pPr>
        <w:pStyle w:val="Heading2"/>
      </w:pPr>
      <w:r>
        <w:t xml:space="preserve">5. Этапы процесса (на примере мероприятия с партнёром)</w:t>
      </w:r>
    </w:p>
    <w:bookmarkStart w:id="19" w:name="этап-1-инициация-кампании"/>
    <w:p>
      <w:pPr>
        <w:pStyle w:val="Heading3"/>
      </w:pPr>
      <w:r>
        <w:t xml:space="preserve">Этап 1: Инициация кампании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32"/>
        <w:gridCol w:w="5967"/>
      </w:tblGrid>
      <w:tr>
        <w:trPr>
          <w:tblHeader w:val="on"/>
        </w:trPr>
        <w:tc>
          <w:tcPr>
            <w:tcW w:w="363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63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96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596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5967" w:type="dxa"/>
          </w:tcPr>
          <w:tcPr/>
          <w:tcPr>
            <w:tcW w:w="5967" w:type="dxa"/>
          </w:tcPr>
          <w:p>
            <w:pPr>
              <w:pStyle w:val="Compact"/>
            </w:pPr>
            <w:r>
              <w:t xml:space="preserve">Отдел рекламы</w:t>
            </w:r>
          </w:p>
        </w:tc>
      </w:tr>
      <w:tr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5967" w:type="dxa"/>
          </w:tcPr>
          <w:tcPr/>
          <w:tcPr>
            <w:tcW w:w="5967" w:type="dxa"/>
          </w:tcPr>
          <w:p>
            <w:pPr>
              <w:pStyle w:val="Compact"/>
            </w:pPr>
            <w:r>
              <w:t xml:space="preserve">1-2 дня</w:t>
            </w:r>
          </w:p>
        </w:tc>
      </w:tr>
      <w:tr>
        <w:tc>
          <w:tcPr>
            <w:tcW w:w="3632" w:type="dxa"/>
          </w:tcPr>
          <w:tcPr/>
          <w:tcPr>
            <w:tcW w:w="363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5967" w:type="dxa"/>
          </w:tcPr>
          <w:tcPr/>
          <w:tcPr>
            <w:tcW w:w="5967" w:type="dxa"/>
          </w:tcPr>
          <w:p>
            <w:pPr>
              <w:pStyle w:val="Compact"/>
            </w:pPr>
            <w:r>
              <w:t xml:space="preserve">Внутреннее согласование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Получение запроса (от партнёра / руководства / плана)</w:t>
      </w:r>
      <w:r>
        <w:t xml:space="preserve"> </w:t>
      </w:r>
      <w:r>
        <w:t xml:space="preserve">2. Оценка возможностей и ресурсов</w:t>
      </w:r>
      <w:r>
        <w:t xml:space="preserve"> </w:t>
      </w:r>
      <w:r>
        <w:t xml:space="preserve">3. Подбор даты и формата</w:t>
      </w:r>
      <w:r>
        <w:t xml:space="preserve"> </w:t>
      </w:r>
      <w:r>
        <w:t xml:space="preserve">4. Предварительное согласование с КАМ/регионами</w:t>
      </w:r>
    </w:p>
    <w:p>
      <w:r>
        <w:pict>
          <v:rect style="width:0;height:1.5pt" o:hralign="center" o:hrstd="t" o:hr="t"/>
        </w:pict>
      </w:r>
    </w:p>
    <w:bookmarkEnd w:id="19"/>
    <w:bookmarkStart w:id="20" w:name="этап-2-планирование-и-поиск-подрядчиков"/>
    <w:p>
      <w:pPr>
        <w:pStyle w:val="Heading3"/>
      </w:pPr>
      <w:r>
        <w:t xml:space="preserve">Этап 2: Планирование и поиск подрядчиков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54"/>
        <w:gridCol w:w="6545"/>
      </w:tblGrid>
      <w:tr>
        <w:trPr>
          <w:tblHeader w:val="on"/>
        </w:trPr>
        <w:tc>
          <w:tcPr>
            <w:tcW w:w="305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5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54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54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545" w:type="dxa"/>
          </w:tcPr>
          <w:tcPr/>
          <w:tcPr>
            <w:tcW w:w="6545" w:type="dxa"/>
          </w:tcPr>
          <w:p>
            <w:pPr>
              <w:pStyle w:val="Compact"/>
            </w:pPr>
            <w:r>
              <w:t xml:space="preserve">Отдел рекламы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545" w:type="dxa"/>
          </w:tcPr>
          <w:tcPr/>
          <w:tcPr>
            <w:tcW w:w="6545" w:type="dxa"/>
          </w:tcPr>
          <w:p>
            <w:pPr>
              <w:pStyle w:val="Compact"/>
            </w:pPr>
            <w:r>
              <w:t xml:space="preserve">3-5 дней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545" w:type="dxa"/>
          </w:tcPr>
          <w:tcPr/>
          <w:tcPr>
            <w:tcW w:w="6545" w:type="dxa"/>
          </w:tcPr>
          <w:p>
            <w:pPr>
              <w:pStyle w:val="Compact"/>
            </w:pPr>
            <w:r>
              <w:t xml:space="preserve">Финансовый департамент (счета)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Поиск площадки для мероприятия</w:t>
      </w:r>
      <w:r>
        <w:t xml:space="preserve"> </w:t>
      </w:r>
      <w:r>
        <w:t xml:space="preserve">2. Подбор подрядчиков (фото, звук, ведущий, кейтеринг)</w:t>
      </w:r>
      <w:r>
        <w:t xml:space="preserve"> </w:t>
      </w:r>
      <w:r>
        <w:t xml:space="preserve">3. Формирование сметы</w:t>
      </w:r>
      <w:r>
        <w:t xml:space="preserve"> </w:t>
      </w:r>
      <w:r>
        <w:t xml:space="preserve">4. Согласование бюджета с партнёром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Несвоевременные ответы от подрядчиков</w:t>
      </w:r>
      <w:r>
        <w:t xml:space="preserve"> </w:t>
      </w:r>
      <w:r>
        <w:t xml:space="preserve">- Накладки по датам</w:t>
      </w:r>
    </w:p>
    <w:p>
      <w:r>
        <w:pict>
          <v:rect style="width:0;height:1.5pt" o:hralign="center" o:hrstd="t" o:hr="t"/>
        </w:pict>
      </w:r>
    </w:p>
    <w:bookmarkEnd w:id="20"/>
    <w:bookmarkStart w:id="21" w:name="этап-3-документооборот-и-согласование"/>
    <w:p>
      <w:pPr>
        <w:pStyle w:val="Heading3"/>
      </w:pPr>
      <w:r>
        <w:t xml:space="preserve">Этап 3: Документооборот и согласование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317"/>
        <w:gridCol w:w="7282"/>
      </w:tblGrid>
      <w:tr>
        <w:trPr>
          <w:tblHeader w:val="on"/>
        </w:trPr>
        <w:tc>
          <w:tcPr>
            <w:tcW w:w="231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31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8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28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317" w:type="dxa"/>
          </w:tcPr>
          <w:tcPr/>
          <w:tcPr>
            <w:tcW w:w="23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282" w:type="dxa"/>
          </w:tcPr>
          <w:tcPr/>
          <w:tcPr>
            <w:tcW w:w="7282" w:type="dxa"/>
          </w:tcPr>
          <w:p>
            <w:pPr>
              <w:pStyle w:val="Compact"/>
            </w:pPr>
            <w:r>
              <w:t xml:space="preserve">Отдел рекламы, Юрист, Финансовый департамент</w:t>
            </w:r>
          </w:p>
        </w:tc>
      </w:tr>
      <w:tr>
        <w:tc>
          <w:tcPr>
            <w:tcW w:w="2317" w:type="dxa"/>
          </w:tcPr>
          <w:tcPr/>
          <w:tcPr>
            <w:tcW w:w="23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282" w:type="dxa"/>
          </w:tcPr>
          <w:tcPr/>
          <w:tcPr>
            <w:tcW w:w="7282" w:type="dxa"/>
          </w:tcPr>
          <w:p>
            <w:pPr>
              <w:pStyle w:val="Compact"/>
            </w:pPr>
            <w:r>
              <w:t xml:space="preserve">3-5 дней</w:t>
            </w:r>
          </w:p>
        </w:tc>
      </w:tr>
      <w:tr>
        <w:tc>
          <w:tcPr>
            <w:tcW w:w="2317" w:type="dxa"/>
          </w:tcPr>
          <w:tcPr/>
          <w:tcPr>
            <w:tcW w:w="23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7282" w:type="dxa"/>
          </w:tcPr>
          <w:tcPr/>
          <w:tcPr>
            <w:tcW w:w="7282" w:type="dxa"/>
          </w:tcPr>
          <w:p>
            <w:pPr>
              <w:pStyle w:val="Compact"/>
            </w:pPr>
            <w:r>
              <w:t xml:space="preserve">Отдел контент-маркетинга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Выставление счёта партнёру (через Финансовый департамент)</w:t>
      </w:r>
      <w:r>
        <w:t xml:space="preserve"> </w:t>
      </w:r>
      <w:r>
        <w:t xml:space="preserve">2. Согласование договора с подрядчиками (через Юриста)</w:t>
      </w:r>
      <w:r>
        <w:t xml:space="preserve"> </w:t>
      </w:r>
      <w:r>
        <w:t xml:space="preserve">3. Контроль подписания документов</w:t>
      </w:r>
      <w:r>
        <w:t xml:space="preserve"> </w:t>
      </w:r>
      <w:r>
        <w:t xml:space="preserve">4. Получение оплаты от партнёра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Задержки согласования договоров</w:t>
      </w:r>
      <w:r>
        <w:t xml:space="preserve"> </w:t>
      </w:r>
      <w:r>
        <w:t xml:space="preserve">- Несвоевременные ответы от партнёров</w:t>
      </w:r>
    </w:p>
    <w:p>
      <w:r>
        <w:pict>
          <v:rect style="width:0;height:1.5pt" o:hralign="center" o:hrstd="t" o:hr="t"/>
        </w:pict>
      </w:r>
    </w:p>
    <w:bookmarkEnd w:id="21"/>
    <w:bookmarkStart w:id="22" w:name="этап-4-набор-участников"/>
    <w:p>
      <w:pPr>
        <w:pStyle w:val="Heading3"/>
      </w:pPr>
      <w:r>
        <w:t xml:space="preserve">Этап 4: Набор участников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536"/>
        <w:gridCol w:w="6063"/>
      </w:tblGrid>
      <w:tr>
        <w:trPr>
          <w:tblHeader w:val="on"/>
        </w:trPr>
        <w:tc>
          <w:tcPr>
            <w:tcW w:w="353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3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06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06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КАМ / Региональные офисы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1-3 недели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Отдел рекламы (списки)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Постановка задачи в Битрикс24</w:t>
      </w:r>
      <w:r>
        <w:t xml:space="preserve"> </w:t>
      </w:r>
      <w:r>
        <w:t xml:space="preserve">2. Рассылка приглашений агентам</w:t>
      </w:r>
      <w:r>
        <w:t xml:space="preserve"> </w:t>
      </w:r>
      <w:r>
        <w:t xml:space="preserve">3. Регистрация участников</w:t>
      </w:r>
      <w:r>
        <w:t xml:space="preserve"> </w:t>
      </w:r>
      <w:r>
        <w:t xml:space="preserve">4. Напоминания и подтверждение явки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Низкий отклик на приглашения</w:t>
      </w:r>
      <w:r>
        <w:t xml:space="preserve"> </w:t>
      </w:r>
      <w:r>
        <w:t xml:space="preserve">- No-show (неявка зарегистрированных)</w:t>
      </w:r>
    </w:p>
    <w:p>
      <w:r>
        <w:pict>
          <v:rect style="width:0;height:1.5pt" o:hralign="center" o:hrstd="t" o:hr="t"/>
        </w:pict>
      </w:r>
    </w:p>
    <w:bookmarkEnd w:id="22"/>
    <w:bookmarkStart w:id="23" w:name="этап-5-подготовка-контента"/>
    <w:p>
      <w:pPr>
        <w:pStyle w:val="Heading3"/>
      </w:pPr>
      <w:r>
        <w:t xml:space="preserve">Этап 5: Подготовка контента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536"/>
        <w:gridCol w:w="6063"/>
      </w:tblGrid>
      <w:tr>
        <w:trPr>
          <w:tblHeader w:val="on"/>
        </w:trPr>
        <w:tc>
          <w:tcPr>
            <w:tcW w:w="353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3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06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06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Отдел контент-маркетинга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5-7 дней</w:t>
            </w:r>
          </w:p>
        </w:tc>
      </w:tr>
      <w:tr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Партнёр (согласование)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Создание брендированных материалов (фотозона, меню, полиграфия)</w:t>
      </w:r>
      <w:r>
        <w:t xml:space="preserve"> </w:t>
      </w:r>
      <w:r>
        <w:t xml:space="preserve">2. Подготовка презентации</w:t>
      </w:r>
      <w:r>
        <w:t xml:space="preserve"> </w:t>
      </w:r>
      <w:r>
        <w:t xml:space="preserve">3. Согласование всех материалов с партнёром</w:t>
      </w:r>
      <w:r>
        <w:t xml:space="preserve"> </w:t>
      </w:r>
      <w:r>
        <w:t xml:space="preserve">4. Печать и доставка материалов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Высокая загрузка дизайнера (1 человек)</w:t>
      </w:r>
      <w:r>
        <w:t xml:space="preserve"> </w:t>
      </w:r>
      <w:r>
        <w:t xml:space="preserve">- Задержки согласования с партнёром</w:t>
      </w:r>
    </w:p>
    <w:p>
      <w:r>
        <w:pict>
          <v:rect style="width:0;height:1.5pt" o:hralign="center" o:hrstd="t" o:hr="t"/>
        </w:pict>
      </w:r>
    </w:p>
    <w:bookmarkEnd w:id="23"/>
    <w:bookmarkStart w:id="24" w:name="этап-6-проведение-мероприятия"/>
    <w:p>
      <w:pPr>
        <w:pStyle w:val="Heading3"/>
      </w:pPr>
      <w:r>
        <w:t xml:space="preserve">Этап 6: Проведение мероприятия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00"/>
        <w:gridCol w:w="6800"/>
      </w:tblGrid>
      <w:tr>
        <w:trPr>
          <w:tblHeader w:val="on"/>
        </w:trPr>
        <w:tc>
          <w:tcPr>
            <w:tcW w:w="28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8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8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800" w:type="dxa"/>
          </w:tcPr>
          <w:tcPr/>
          <w:tcPr>
            <w:tcW w:w="6800" w:type="dxa"/>
          </w:tcPr>
          <w:p>
            <w:pPr>
              <w:pStyle w:val="Compact"/>
            </w:pPr>
            <w:r>
              <w:t xml:space="preserve">Отдел рекламы, КАМ, Отдел продукта</w:t>
            </w:r>
          </w:p>
        </w:tc>
      </w:tr>
      <w:tr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800" w:type="dxa"/>
          </w:tcPr>
          <w:tcPr/>
          <w:tcPr>
            <w:tcW w:w="6800" w:type="dxa"/>
          </w:tcPr>
          <w:p>
            <w:pPr>
              <w:pStyle w:val="Compact"/>
            </w:pPr>
            <w:r>
              <w:t xml:space="preserve">День мероприятия</w:t>
            </w:r>
          </w:p>
        </w:tc>
      </w:tr>
      <w:tr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800" w:type="dxa"/>
          </w:tcPr>
          <w:tcPr/>
          <w:tcPr>
            <w:tcW w:w="680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Контроль площадки и подрядчиков (Отдел рекламы)</w:t>
      </w:r>
      <w:r>
        <w:t xml:space="preserve"> </w:t>
      </w:r>
      <w:r>
        <w:t xml:space="preserve">2. Встреча и регистрация агентов (КАМ)</w:t>
      </w:r>
      <w:r>
        <w:t xml:space="preserve"> </w:t>
      </w:r>
      <w:r>
        <w:t xml:space="preserve">3. Презентация направления (Отдел продукта)</w:t>
      </w:r>
      <w:r>
        <w:t xml:space="preserve"> </w:t>
      </w:r>
      <w:r>
        <w:t xml:space="preserve">4. Нетворкинг и фотосессия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Форс-мажоры (технические сбои, неявка спикера)</w:t>
      </w:r>
    </w:p>
    <w:p>
      <w:r>
        <w:pict>
          <v:rect style="width:0;height:1.5pt" o:hralign="center" o:hrstd="t" o:hr="t"/>
        </w:pict>
      </w:r>
    </w:p>
    <w:bookmarkEnd w:id="24"/>
    <w:bookmarkStart w:id="25" w:name="этап-7-отчётность-и-анализ"/>
    <w:p>
      <w:pPr>
        <w:pStyle w:val="Heading3"/>
      </w:pPr>
      <w:r>
        <w:t xml:space="preserve">Этап 7: Отчётность и анализ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21"/>
        <w:gridCol w:w="6678"/>
      </w:tblGrid>
      <w:tr>
        <w:trPr>
          <w:tblHeader w:val="on"/>
        </w:trPr>
        <w:tc>
          <w:tcPr>
            <w:tcW w:w="292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2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7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67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678" w:type="dxa"/>
          </w:tcPr>
          <w:tcPr/>
          <w:tcPr>
            <w:tcW w:w="6678" w:type="dxa"/>
          </w:tcPr>
          <w:p>
            <w:pPr>
              <w:pStyle w:val="Compact"/>
            </w:pPr>
            <w:r>
              <w:t xml:space="preserve">Отдел рекламы, Контент-маркетинг</w:t>
            </w:r>
          </w:p>
        </w:tc>
      </w:tr>
      <w:tr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678" w:type="dxa"/>
          </w:tcPr>
          <w:tcPr/>
          <w:tcPr>
            <w:tcW w:w="6678" w:type="dxa"/>
          </w:tcPr>
          <w:p>
            <w:pPr>
              <w:pStyle w:val="Compact"/>
            </w:pPr>
            <w:r>
              <w:t xml:space="preserve">3-5 дней после мероприятия</w:t>
            </w:r>
          </w:p>
        </w:tc>
      </w:tr>
      <w:tr>
        <w:tc>
          <w:tcPr>
            <w:tcW w:w="2921" w:type="dxa"/>
          </w:tcPr>
          <w:tcPr/>
          <w:tcPr>
            <w:tcW w:w="29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678" w:type="dxa"/>
          </w:tcPr>
          <w:tcPr/>
          <w:tcPr>
            <w:tcW w:w="6678" w:type="dxa"/>
          </w:tcPr>
          <w:p>
            <w:pPr>
              <w:pStyle w:val="Compact"/>
            </w:pPr>
            <w:r>
              <w:t xml:space="preserve">Партнёр, Руководство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Сбор фотоотчёта от фотографа</w:t>
      </w:r>
      <w:r>
        <w:t xml:space="preserve"> </w:t>
      </w:r>
      <w:r>
        <w:t xml:space="preserve">2. Получение списков участников от КАМ</w:t>
      </w:r>
      <w:r>
        <w:t xml:space="preserve"> </w:t>
      </w:r>
      <w:r>
        <w:t xml:space="preserve">3. Сбор обратной связи от партнёра</w:t>
      </w:r>
      <w:r>
        <w:t xml:space="preserve"> </w:t>
      </w:r>
      <w:r>
        <w:t xml:space="preserve">4. Публикация отчёта в соцсетях</w:t>
      </w:r>
      <w:r>
        <w:t xml:space="preserve"> </w:t>
      </w:r>
      <w:r>
        <w:t xml:space="preserve">5. Формирование итогового отчёта с KPI</w:t>
      </w:r>
      <w:r>
        <w:t xml:space="preserve"> </w:t>
      </w:r>
      <w:r>
        <w:t xml:space="preserve">6. Закрывающие документы в бухгалтерию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поток-процесса"/>
    <w:p>
      <w:pPr>
        <w:pStyle w:val="Heading2"/>
      </w:pPr>
      <w:r>
        <w:t xml:space="preserve">6. Поток процесса</w:t>
      </w:r>
    </w:p>
    <w:p>
      <w:pPr>
        <w:pStyle w:val="FirstParagraph"/>
      </w:pPr>
      <w:r>
        <w:t xml:space="preserve">Процесс начинается с запроса (от партнёра, по плану или от отдела продукта), который поступает в отдел рекламы. На этапе инициации (SLA 2 дня) оцениваются возможности и подбирается формат. Далее в течение 5 дней происходит планирование: поиск площадки, подрядчиков, формирование сметы.</w:t>
      </w:r>
    </w:p>
    <w:p>
      <w:pPr>
        <w:pStyle w:val="BodyText"/>
      </w:pPr>
      <w:r>
        <w:t xml:space="preserve">Параллельно запускаются три направления работы: финансы (выставление счетов партнёру), юрист (согласование договоров с подрядчиками), КАМ (набор участников на мероприятие — 1-3 недели).</w:t>
      </w:r>
    </w:p>
    <w:p>
      <w:pPr>
        <w:pStyle w:val="BodyText"/>
      </w:pPr>
      <w:r>
        <w:t xml:space="preserve">После согласования документов отдел контент-маркетинга готовит материалы (7 дней) и согласовывает их с партнёром. В день мероприятия проводится само мероприятие, а в течение 5 дней после — формируется отчёт для партнёра и руководства.</w:t>
      </w:r>
    </w:p>
    <w:p>
      <w:r>
        <w:pict>
          <v:rect style="width:0;height:1.5pt" o:hralign="center" o:hrstd="t" o:hr="t"/>
        </w:pict>
      </w:r>
    </w:p>
    <w:bookmarkEnd w:id="27"/>
    <w:bookmarkStart w:id="28" w:name="системы-и-инструменты"/>
    <w:p>
      <w:pPr>
        <w:pStyle w:val="Heading2"/>
      </w:pPr>
      <w:r>
        <w:t xml:space="preserve">7. Системы и инструменты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94"/>
        <w:gridCol w:w="6905"/>
      </w:tblGrid>
      <w:tr>
        <w:trPr>
          <w:tblHeader w:val="on"/>
        </w:trPr>
        <w:tc>
          <w:tcPr>
            <w:tcW w:w="269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9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690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90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 в процессе</w:t>
            </w:r>
          </w:p>
        </w:tc>
      </w:tr>
      <w:tr>
        <w:tc>
          <w:tcPr>
            <w:tcW w:w="2694" w:type="dxa"/>
          </w:tcPr>
          <w:tcPr/>
          <w:tcPr>
            <w:tcW w:w="2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w="6905" w:type="dxa"/>
          </w:tcPr>
          <w:tcPr/>
          <w:tcPr>
            <w:tcW w:w="6905" w:type="dxa"/>
          </w:tcPr>
          <w:p>
            <w:pPr>
              <w:pStyle w:val="Compact"/>
            </w:pPr>
            <w:r>
              <w:t xml:space="preserve">Постановка задач, коммуникации</w:t>
            </w:r>
          </w:p>
        </w:tc>
      </w:tr>
      <w:tr>
        <w:tc>
          <w:tcPr>
            <w:tcW w:w="2694" w:type="dxa"/>
          </w:tcPr>
          <w:tcPr/>
          <w:tcPr>
            <w:tcW w:w="2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w="6905" w:type="dxa"/>
          </w:tcPr>
          <w:tcPr/>
          <w:tcPr>
            <w:tcW w:w="6905" w:type="dxa"/>
          </w:tcPr>
          <w:p>
            <w:pPr>
              <w:pStyle w:val="Compact"/>
            </w:pPr>
            <w:r>
              <w:t xml:space="preserve">Коммуникация с партнёрами</w:t>
            </w:r>
          </w:p>
        </w:tc>
      </w:tr>
      <w:tr>
        <w:tc>
          <w:tcPr>
            <w:tcW w:w="2694" w:type="dxa"/>
          </w:tcPr>
          <w:tcPr/>
          <w:tcPr>
            <w:tcW w:w="2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Invoice Tracker</w:t>
            </w:r>
          </w:p>
        </w:tc>
        <w:tc>
          <w:tcPr>
            <w:tcW w:w="6905" w:type="dxa"/>
          </w:tcPr>
          <w:tcPr/>
          <w:tcPr>
            <w:tcW w:w="6905" w:type="dxa"/>
          </w:tcPr>
          <w:p>
            <w:pPr>
              <w:pStyle w:val="Compact"/>
            </w:pPr>
            <w:r>
              <w:t xml:space="preserve">Контроль счетов партнёрам</w:t>
            </w:r>
          </w:p>
        </w:tc>
      </w:tr>
      <w:tr>
        <w:tc>
          <w:tcPr>
            <w:tcW w:w="2694" w:type="dxa"/>
          </w:tcPr>
          <w:tcPr/>
          <w:tcPr>
            <w:tcW w:w="2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МТС Линк</w:t>
            </w:r>
          </w:p>
        </w:tc>
        <w:tc>
          <w:tcPr>
            <w:tcW w:w="6905" w:type="dxa"/>
          </w:tcPr>
          <w:tcPr/>
          <w:tcPr>
            <w:tcW w:w="6905" w:type="dxa"/>
          </w:tcPr>
          <w:p>
            <w:pPr>
              <w:pStyle w:val="Compact"/>
            </w:pPr>
            <w:r>
              <w:t xml:space="preserve">Платформа для вебинаров</w:t>
            </w:r>
          </w:p>
        </w:tc>
      </w:tr>
      <w:tr>
        <w:tc>
          <w:tcPr>
            <w:tcW w:w="2694" w:type="dxa"/>
          </w:tcPr>
          <w:tcPr/>
          <w:tcPr>
            <w:tcW w:w="2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Google Таблицы</w:t>
            </w:r>
          </w:p>
        </w:tc>
        <w:tc>
          <w:tcPr>
            <w:tcW w:w="6905" w:type="dxa"/>
          </w:tcPr>
          <w:tcPr/>
          <w:tcPr>
            <w:tcW w:w="6905" w:type="dxa"/>
          </w:tcPr>
          <w:p>
            <w:pPr>
              <w:pStyle w:val="Compact"/>
            </w:pPr>
            <w:r>
              <w:t xml:space="preserve">Списки участников, планирование</w:t>
            </w:r>
          </w:p>
        </w:tc>
      </w:tr>
      <w:tr>
        <w:tc>
          <w:tcPr>
            <w:tcW w:w="2694" w:type="dxa"/>
          </w:tcPr>
          <w:tcPr/>
          <w:tcPr>
            <w:tcW w:w="2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Соцсети (TG, VK)</w:t>
            </w:r>
          </w:p>
        </w:tc>
        <w:tc>
          <w:tcPr>
            <w:tcW w:w="6905" w:type="dxa"/>
          </w:tcPr>
          <w:tcPr/>
          <w:tcPr>
            <w:tcW w:w="6905" w:type="dxa"/>
          </w:tcPr>
          <w:p>
            <w:pPr>
              <w:pStyle w:val="Compact"/>
            </w:pPr>
            <w:r>
              <w:t xml:space="preserve">Публикация отчётов</w:t>
            </w:r>
          </w:p>
        </w:tc>
      </w:tr>
      <w:tr>
        <w:tc>
          <w:tcPr>
            <w:tcW w:w="2694" w:type="dxa"/>
          </w:tcPr>
          <w:tcPr/>
          <w:tcPr>
            <w:tcW w:w="269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RoiStat</w:t>
            </w:r>
          </w:p>
        </w:tc>
        <w:tc>
          <w:tcPr>
            <w:tcW w:w="6905" w:type="dxa"/>
          </w:tcPr>
          <w:tcPr/>
          <w:tcPr>
            <w:tcW w:w="6905" w:type="dxa"/>
          </w:tcPr>
          <w:p>
            <w:pPr>
              <w:pStyle w:val="Compact"/>
            </w:pPr>
            <w:r>
              <w:t xml:space="preserve">Сквозная аналитика (в процессе внедрения)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kpi-процесса"/>
    <w:p>
      <w:pPr>
        <w:pStyle w:val="Heading2"/>
      </w:pPr>
      <w:r>
        <w:t xml:space="preserve">8. 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402"/>
        <w:gridCol w:w="1944"/>
        <w:gridCol w:w="1215"/>
        <w:gridCol w:w="3037"/>
      </w:tblGrid>
      <w:tr>
        <w:trPr>
          <w:tblHeader w:val="on"/>
        </w:trPr>
        <w:tc>
          <w:tcPr>
            <w:tcW w:w="340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0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94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4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>
            <w:tcW w:w="121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21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303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3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Количество мероприятий/месяц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≥4</w:t>
            </w:r>
          </w:p>
        </w:tc>
        <w:tc>
          <w:tcPr>
            <w:tcW w:w="1215" w:type="dxa"/>
          </w:tcPr>
          <w:tcPr/>
          <w:tcPr>
            <w:tcW w:w="1215" w:type="dxa"/>
          </w:tcPr>
          <w:p>
            <w:pPr>
              <w:pStyle w:val="Compact"/>
            </w:pPr>
            <w:r>
              <w:t xml:space="preserve">3-4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Подсчёт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Средняя явка на мероприятие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≥70%</w:t>
            </w:r>
          </w:p>
        </w:tc>
        <w:tc>
          <w:tcPr>
            <w:tcW w:w="1215" w:type="dxa"/>
          </w:tcPr>
          <w:tcPr/>
          <w:tcPr>
            <w:tcW w:w="1215" w:type="dxa"/>
          </w:tcPr>
          <w:p>
            <w:pPr>
              <w:pStyle w:val="Compact"/>
            </w:pPr>
            <w:r>
              <w:t xml:space="preserve">~50%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Регистрация vs факт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Посещаемость вебинаров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≥100 чел</w:t>
            </w:r>
          </w:p>
        </w:tc>
        <w:tc>
          <w:tcPr>
            <w:tcW w:w="1215" w:type="dxa"/>
          </w:tcPr>
          <w:tcPr/>
          <w:tcPr>
            <w:tcW w:w="1215" w:type="dxa"/>
          </w:tcPr>
          <w:p>
            <w:pPr>
              <w:pStyle w:val="Compact"/>
            </w:pPr>
            <w:r>
              <w:t xml:space="preserve">~80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МТС Линк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Партнёрские бюджеты/год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Рост 20%</w:t>
            </w:r>
          </w:p>
        </w:tc>
        <w:tc>
          <w:tcPr>
            <w:tcW w:w="1215" w:type="dxa"/>
          </w:tcPr>
          <w:tcPr/>
          <w:tcPr>
            <w:tcW w:w="1215" w:type="dxa"/>
          </w:tcPr>
          <w:p>
            <w:pPr>
              <w:pStyle w:val="Compact"/>
            </w:pPr>
            <w:r>
              <w:t xml:space="preserve">Нет данных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Invoice Tracker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ROI рекламных кампаний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≥300%</w:t>
            </w:r>
          </w:p>
        </w:tc>
        <w:tc>
          <w:tcPr>
            <w:tcW w:w="1215" w:type="dxa"/>
          </w:tcPr>
          <w:tcPr/>
          <w:tcPr>
            <w:tcW w:w="1215" w:type="dxa"/>
          </w:tcPr>
          <w:p>
            <w:pPr>
              <w:pStyle w:val="Compact"/>
            </w:pPr>
            <w:r>
              <w:t xml:space="preserve">Нет данных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RoiStat (после внедрения)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Open Rate email-рассылок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≥25%</w:t>
            </w:r>
          </w:p>
        </w:tc>
        <w:tc>
          <w:tcPr>
            <w:tcW w:w="1215" w:type="dxa"/>
          </w:tcPr>
          <w:tcPr/>
          <w:tcPr>
            <w:tcW w:w="1215" w:type="dxa"/>
          </w:tcPr>
          <w:p>
            <w:pPr>
              <w:pStyle w:val="Compact"/>
            </w:pPr>
            <w:r>
              <w:t xml:space="preserve">~18%</w:t>
            </w:r>
          </w:p>
        </w:tc>
        <w:tc>
          <w:tcPr>
            <w:tcW w:w="3037" w:type="dxa"/>
          </w:tcPr>
          <w:tcPr/>
          <w:tcPr>
            <w:tcW w:w="3037" w:type="dxa"/>
          </w:tcPr>
          <w:p>
            <w:pPr>
              <w:pStyle w:val="Compact"/>
            </w:pPr>
            <w:r>
              <w:t xml:space="preserve">Email-платформа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риски-и-проблемы"/>
    <w:p>
      <w:pPr>
        <w:pStyle w:val="Heading2"/>
      </w:pPr>
      <w:r>
        <w:t xml:space="preserve">9. Риски и проблемы</w:t>
      </w:r>
    </w:p>
    <w:bookmarkStart w:id="30" w:name="критические"/>
    <w:p>
      <w:pPr>
        <w:pStyle w:val="Heading3"/>
      </w:pPr>
      <w:r>
        <w:t xml:space="preserve">Критические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105"/>
        <w:gridCol w:w="2682"/>
        <w:gridCol w:w="3811"/>
      </w:tblGrid>
      <w:tr>
        <w:trPr>
          <w:tblHeader w:val="on"/>
        </w:trPr>
        <w:tc>
          <w:tcPr>
            <w:tcW w:w="310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0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268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8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381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1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105" w:type="dxa"/>
          </w:tcPr>
          <w:tcPr/>
          <w:tcPr>
            <w:tcW w:w="310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Вакансия директора</w:t>
            </w:r>
          </w:p>
        </w:tc>
        <w:tc>
          <w:tcPr>
            <w:tcW w:w="2682" w:type="dxa"/>
          </w:tcPr>
          <w:tcPr/>
          <w:tcPr>
            <w:tcW w:w="2682" w:type="dxa"/>
          </w:tcPr>
          <w:p>
            <w:pPr>
              <w:pStyle w:val="Compact"/>
            </w:pPr>
            <w:r>
              <w:t xml:space="preserve">Нет руководителя L1</w:t>
            </w:r>
          </w:p>
        </w:tc>
        <w:tc>
          <w:tcPr>
            <w:tcW w:w="3811" w:type="dxa"/>
          </w:tcPr>
          <w:tcPr/>
          <w:tcPr>
            <w:tcW w:w="3811" w:type="dxa"/>
          </w:tcPr>
          <w:p>
            <w:pPr>
              <w:pStyle w:val="Compact"/>
            </w:pPr>
            <w:r>
              <w:t xml:space="preserve">Отсутствие единой стратегии</w:t>
            </w:r>
          </w:p>
        </w:tc>
      </w:tr>
      <w:tr>
        <w:tc>
          <w:tcPr>
            <w:tcW w:w="3105" w:type="dxa"/>
          </w:tcPr>
          <w:tcPr/>
          <w:tcPr>
            <w:tcW w:w="310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Нет сквозной аналитики</w:t>
            </w:r>
          </w:p>
        </w:tc>
        <w:tc>
          <w:tcPr>
            <w:tcW w:w="2682" w:type="dxa"/>
          </w:tcPr>
          <w:tcPr/>
          <w:tcPr>
            <w:tcW w:w="2682" w:type="dxa"/>
          </w:tcPr>
          <w:p>
            <w:pPr>
              <w:pStyle w:val="Compact"/>
            </w:pPr>
            <w:r>
              <w:t xml:space="preserve">RoiStat не внедрён</w:t>
            </w:r>
          </w:p>
        </w:tc>
        <w:tc>
          <w:tcPr>
            <w:tcW w:w="3811" w:type="dxa"/>
          </w:tcPr>
          <w:tcPr/>
          <w:tcPr>
            <w:tcW w:w="3811" w:type="dxa"/>
          </w:tcPr>
          <w:p>
            <w:pPr>
              <w:pStyle w:val="Compact"/>
            </w:pPr>
            <w:r>
              <w:t xml:space="preserve">Невозможно измерить ROI</w:t>
            </w:r>
          </w:p>
        </w:tc>
      </w:tr>
    </w:tbl>
    <w:bookmarkEnd w:id="30"/>
    <w:bookmarkStart w:id="31" w:name="высокие"/>
    <w:p>
      <w:pPr>
        <w:pStyle w:val="Heading3"/>
      </w:pPr>
      <w:r>
        <w:t xml:space="preserve">Высокие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200"/>
        <w:gridCol w:w="3862"/>
        <w:gridCol w:w="2537"/>
      </w:tblGrid>
      <w:tr>
        <w:trPr>
          <w:tblHeader w:val="on"/>
        </w:trPr>
        <w:tc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86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6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253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3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Устаревшие цены в рассылках</w:t>
            </w:r>
          </w:p>
        </w:tc>
        <w:tc>
          <w:tcPr>
            <w:tcW w:w="3862" w:type="dxa"/>
          </w:tcPr>
          <w:tcPr/>
          <w:tcPr>
            <w:tcW w:w="3862" w:type="dxa"/>
          </w:tcPr>
          <w:p>
            <w:pPr>
              <w:pStyle w:val="Compact"/>
            </w:pPr>
            <w:r>
              <w:t xml:space="preserve">Ручной сбор от продуктологов</w:t>
            </w:r>
          </w:p>
        </w:tc>
        <w:tc>
          <w:tcPr>
            <w:tcW w:w="2537" w:type="dxa"/>
          </w:tcPr>
          <w:tcPr/>
          <w:tcPr>
            <w:tcW w:w="2537" w:type="dxa"/>
          </w:tcPr>
          <w:p>
            <w:pPr>
              <w:pStyle w:val="Compact"/>
            </w:pPr>
            <w:r>
              <w:t xml:space="preserve">Некорректная информация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Высокая загрузка дизайнера</w:t>
            </w:r>
          </w:p>
        </w:tc>
        <w:tc>
          <w:tcPr>
            <w:tcW w:w="3862" w:type="dxa"/>
          </w:tcPr>
          <w:tcPr/>
          <w:tcPr>
            <w:tcW w:w="3862" w:type="dxa"/>
          </w:tcPr>
          <w:p>
            <w:pPr>
              <w:pStyle w:val="Compact"/>
            </w:pPr>
            <w:r>
              <w:t xml:space="preserve">1 специалист на все задачи</w:t>
            </w:r>
          </w:p>
        </w:tc>
        <w:tc>
          <w:tcPr>
            <w:tcW w:w="2537" w:type="dxa"/>
          </w:tcPr>
          <w:tcPr/>
          <w:tcPr>
            <w:tcW w:w="2537" w:type="dxa"/>
          </w:tcPr>
          <w:p>
            <w:pPr>
              <w:pStyle w:val="Compact"/>
            </w:pPr>
            <w:r>
              <w:t xml:space="preserve">Задержки креативов</w:t>
            </w:r>
          </w:p>
        </w:tc>
      </w:tr>
      <w:tr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Низкая посещаемость вебинаров</w:t>
            </w:r>
          </w:p>
        </w:tc>
        <w:tc>
          <w:tcPr>
            <w:tcW w:w="3862" w:type="dxa"/>
          </w:tcPr>
          <w:tcPr/>
          <w:tcPr>
            <w:tcW w:w="3862" w:type="dxa"/>
          </w:tcPr>
          <w:p>
            <w:pPr>
              <w:pStyle w:val="Compact"/>
            </w:pPr>
            <w:r>
              <w:t xml:space="preserve">Слабый отклик, технические проблемы</w:t>
            </w:r>
          </w:p>
        </w:tc>
        <w:tc>
          <w:tcPr>
            <w:tcW w:w="2537" w:type="dxa"/>
          </w:tcPr>
          <w:tcPr/>
          <w:tcPr>
            <w:tcW w:w="2537" w:type="dxa"/>
          </w:tcPr>
          <w:p>
            <w:pPr>
              <w:pStyle w:val="Compact"/>
            </w:pPr>
            <w:r>
              <w:t xml:space="preserve">Низкий охват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точки-автоматизации"/>
    <w:p>
      <w:pPr>
        <w:pStyle w:val="Heading2"/>
      </w:pPr>
      <w:r>
        <w:t xml:space="preserve">10. Точки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996"/>
        <w:gridCol w:w="2173"/>
        <w:gridCol w:w="3441"/>
        <w:gridCol w:w="2173"/>
        <w:gridCol w:w="815"/>
      </w:tblGrid>
      <w:tr>
        <w:trPr>
          <w:tblHeader w:val="on"/>
        </w:trPr>
        <w:tc>
          <w:tcPr>
            <w:tcW w:w="99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99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17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7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344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4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17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7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>
            <w:tcW w:w="81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1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996" w:type="dxa"/>
          </w:tcPr>
          <w:tcPr/>
          <w:tcPr>
            <w:tcW w:w="996" w:type="dxa"/>
          </w:tcPr>
          <w:p>
            <w:pPr>
              <w:pStyle w:val="Compact"/>
            </w:pPr>
            <w:r>
              <w:t xml:space="preserve">AUTO-MKT-01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Интеграция САМО→Email</w:t>
            </w:r>
          </w:p>
        </w:tc>
        <w:tc>
          <w:tcPr>
            <w:tcW w:w="3441" w:type="dxa"/>
          </w:tcPr>
          <w:tcPr/>
          <w:tcPr>
            <w:tcW w:w="3441" w:type="dxa"/>
          </w:tcPr>
          <w:p>
            <w:pPr>
              <w:pStyle w:val="Compact"/>
            </w:pPr>
            <w:r>
              <w:t xml:space="preserve">Автоматическое обновление цен и ссылок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-50% ошибок в рассылках</w:t>
            </w:r>
          </w:p>
        </w:tc>
        <w:tc>
          <w:tcPr>
            <w:tcW w:w="815" w:type="dxa"/>
          </w:tcPr>
          <w:tcPr/>
          <w:tcPr>
            <w:tcW w:w="815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996" w:type="dxa"/>
          </w:tcPr>
          <w:tcPr/>
          <w:tcPr>
            <w:tcW w:w="996" w:type="dxa"/>
          </w:tcPr>
          <w:p>
            <w:pPr>
              <w:pStyle w:val="Compact"/>
            </w:pPr>
            <w:r>
              <w:t xml:space="preserve">AUTO-MKT-02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RoiStat</w:t>
            </w:r>
          </w:p>
        </w:tc>
        <w:tc>
          <w:tcPr>
            <w:tcW w:w="3441" w:type="dxa"/>
          </w:tcPr>
          <w:tcPr/>
          <w:tcPr>
            <w:tcW w:w="3441" w:type="dxa"/>
          </w:tcPr>
          <w:p>
            <w:pPr>
              <w:pStyle w:val="Compact"/>
            </w:pPr>
            <w:r>
              <w:t xml:space="preserve">Полная сквозная аналитика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ROI-дашборды в реалтайме</w:t>
            </w:r>
          </w:p>
        </w:tc>
        <w:tc>
          <w:tcPr>
            <w:tcW w:w="815" w:type="dxa"/>
          </w:tcPr>
          <w:tcPr/>
          <w:tcPr>
            <w:tcW w:w="815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996" w:type="dxa"/>
          </w:tcPr>
          <w:tcPr/>
          <w:tcPr>
            <w:tcW w:w="996" w:type="dxa"/>
          </w:tcPr>
          <w:p>
            <w:pPr>
              <w:pStyle w:val="Compact"/>
            </w:pPr>
            <w:r>
              <w:t xml:space="preserve">AUTO-MKT-03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ИИ для дизайна</w:t>
            </w:r>
          </w:p>
        </w:tc>
        <w:tc>
          <w:tcPr>
            <w:tcW w:w="3441" w:type="dxa"/>
          </w:tcPr>
          <w:tcPr/>
          <w:tcPr>
            <w:tcW w:w="3441" w:type="dxa"/>
          </w:tcPr>
          <w:p>
            <w:pPr>
              <w:pStyle w:val="Compact"/>
            </w:pPr>
            <w:r>
              <w:t xml:space="preserve">Генерация базовых визуалов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+20% скорость креативов</w:t>
            </w:r>
          </w:p>
        </w:tc>
        <w:tc>
          <w:tcPr>
            <w:tcW w:w="815" w:type="dxa"/>
          </w:tcPr>
          <w:tcPr/>
          <w:tcPr>
            <w:tcW w:w="815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996" w:type="dxa"/>
          </w:tcPr>
          <w:tcPr/>
          <w:tcPr>
            <w:tcW w:w="996" w:type="dxa"/>
          </w:tcPr>
          <w:p>
            <w:pPr>
              <w:pStyle w:val="Compact"/>
            </w:pPr>
            <w:r>
              <w:t xml:space="preserve">AUTO-MKT-04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Шаблоны задач Битрикс</w:t>
            </w:r>
          </w:p>
        </w:tc>
        <w:tc>
          <w:tcPr>
            <w:tcW w:w="3441" w:type="dxa"/>
          </w:tcPr>
          <w:tcPr/>
          <w:tcPr>
            <w:tcW w:w="3441" w:type="dxa"/>
          </w:tcPr>
          <w:p>
            <w:pPr>
              <w:pStyle w:val="Compact"/>
            </w:pPr>
            <w:r>
              <w:t xml:space="preserve">Стандартизация процесса мероприятий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-30% время планирования</w:t>
            </w:r>
          </w:p>
        </w:tc>
        <w:tc>
          <w:tcPr>
            <w:tcW w:w="815" w:type="dxa"/>
          </w:tcPr>
          <w:tcPr/>
          <w:tcPr>
            <w:tcW w:w="815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996" w:type="dxa"/>
          </w:tcPr>
          <w:tcPr/>
          <w:tcPr>
            <w:tcW w:w="996" w:type="dxa"/>
          </w:tcPr>
          <w:p>
            <w:pPr>
              <w:pStyle w:val="Compact"/>
            </w:pPr>
            <w:r>
              <w:t xml:space="preserve">AUTO-MKT-05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Авторассылка напоминаний</w:t>
            </w:r>
          </w:p>
        </w:tc>
        <w:tc>
          <w:tcPr>
            <w:tcW w:w="3441" w:type="dxa"/>
          </w:tcPr>
          <w:tcPr/>
          <w:tcPr>
            <w:tcW w:w="3441" w:type="dxa"/>
          </w:tcPr>
          <w:p>
            <w:pPr>
              <w:pStyle w:val="Compact"/>
            </w:pPr>
            <w:r>
              <w:t xml:space="preserve">Напоминания участникам о мероприятиях</w:t>
            </w:r>
          </w:p>
        </w:tc>
        <w:tc>
          <w:tcPr>
            <w:tcW w:w="2173" w:type="dxa"/>
          </w:tcPr>
          <w:tcPr/>
          <w:tcPr>
            <w:tcW w:w="2173" w:type="dxa"/>
          </w:tcPr>
          <w:p>
            <w:pPr>
              <w:pStyle w:val="Compact"/>
            </w:pPr>
            <w:r>
              <w:t xml:space="preserve">+15% явка</w:t>
            </w:r>
          </w:p>
        </w:tc>
        <w:tc>
          <w:tcPr>
            <w:tcW w:w="815" w:type="dxa"/>
          </w:tcPr>
          <w:tcPr/>
          <w:tcPr>
            <w:tcW w:w="815" w:type="dxa"/>
          </w:tcPr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рекомендации"/>
    <w:p>
      <w:pPr>
        <w:pStyle w:val="Heading2"/>
      </w:pPr>
      <w:r>
        <w:t xml:space="preserve">11. Рекомендации</w:t>
      </w:r>
    </w:p>
    <w:bookmarkStart w:id="34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Закрыть вакансию директора по маркетингу</w:t>
      </w:r>
      <w:r>
        <w:t xml:space="preserve"> </w:t>
      </w:r>
      <w:r>
        <w:t xml:space="preserve">— критически важно для единой стратегии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Завершить внедрение RoiStat</w:t>
      </w:r>
      <w:r>
        <w:t xml:space="preserve"> </w:t>
      </w:r>
      <w:r>
        <w:t xml:space="preserve">— необходимо для измерения эффективности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Создать интеграцию САМО→Email</w:t>
      </w:r>
      <w:r>
        <w:t xml:space="preserve"> </w:t>
      </w:r>
      <w:r>
        <w:t xml:space="preserve">— для актуальных цен в рассылках</w:t>
      </w:r>
    </w:p>
    <w:bookmarkEnd w:id="34"/>
    <w:bookmarkStart w:id="35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4"/>
        </w:numPr>
      </w:pPr>
      <w:r>
        <w:t xml:space="preserve">Разработать единую маркетинговую стратегию на год</w:t>
      </w:r>
    </w:p>
    <w:p>
      <w:pPr>
        <w:pStyle w:val="Compact"/>
        <w:numPr>
          <w:ilvl w:val="0"/>
          <w:numId w:val="1004"/>
        </w:numPr>
      </w:pPr>
      <w:r>
        <w:t xml:space="preserve">Внедрить систему управления партнёрскими бюджетами</w:t>
      </w:r>
    </w:p>
    <w:p>
      <w:pPr>
        <w:pStyle w:val="Compact"/>
        <w:numPr>
          <w:ilvl w:val="0"/>
          <w:numId w:val="1004"/>
        </w:numPr>
      </w:pPr>
      <w:r>
        <w:t xml:space="preserve">Автоматизировать процесс набора участников на мероприятия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2026-02-28T17:40:52Z</dcterms:created>
  <dcterms:modified xsi:type="dcterms:W3CDTF">2026-02-28T17:40:52Z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