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bp-03-mice-и-корпоративное-обслуживание"/>
    <w:p>
      <w:pPr>
        <w:pStyle w:val="Heading1"/>
      </w:pPr>
      <w:r>
        <w:t xml:space="preserve">BP-03: MICE и корпоративное обслуживание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597"/>
        <w:gridCol w:w="7002"/>
      </w:tblGrid>
      <w:tr>
        <w:trPr>
          <w:tblHeader w:val="on"/>
        </w:trPr>
        <w:tc>
          <w:tcPr>
            <w:tcW w:w="259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9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00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00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>
            <w:tcW w:w="7002" w:type="dxa"/>
          </w:tcPr>
          <w:tcPr/>
          <w:tcPr>
            <w:tcW w:w="7002" w:type="dxa"/>
          </w:tcPr>
          <w:p>
            <w:pPr>
              <w:pStyle w:val="Compact"/>
            </w:pPr>
            <w:r>
              <w:t xml:space="preserve">BP-03</w:t>
            </w:r>
          </w:p>
        </w:tc>
      </w:tr>
      <w:tr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7002" w:type="dxa"/>
          </w:tcPr>
          <w:tcPr/>
          <w:tcPr>
            <w:tcW w:w="7002" w:type="dxa"/>
          </w:tcPr>
          <w:p>
            <w:pPr>
              <w:pStyle w:val="Compact"/>
            </w:pPr>
            <w:r>
              <w:t xml:space="preserve">MICE и корпоративное обслуживание</w:t>
            </w:r>
          </w:p>
        </w:tc>
      </w:tr>
      <w:tr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7002" w:type="dxa"/>
          </w:tcPr>
          <w:tcPr/>
          <w:tcPr>
            <w:tcW w:w="7002" w:type="dxa"/>
          </w:tcPr>
          <w:p>
            <w:pPr>
              <w:pStyle w:val="Compact"/>
            </w:pPr>
            <w:r>
              <w:t xml:space="preserve">Питуркин С.А. (Департамент MICE и корпоративного обслуживания)</w:t>
            </w:r>
          </w:p>
        </w:tc>
      </w:tr>
      <w:tr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w="7002" w:type="dxa"/>
          </w:tcPr>
          <w:tcPr/>
          <w:tcPr>
            <w:tcW w:w="7002" w:type="dxa"/>
          </w:tcPr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Влияние на выручку</w:t>
            </w:r>
          </w:p>
        </w:tc>
        <w:tc>
          <w:tcPr>
            <w:tcW w:w="7002" w:type="dxa"/>
          </w:tcPr>
          <w:tcPr/>
          <w:tcPr>
            <w:tcW w:w="7002" w:type="dxa"/>
          </w:tcPr>
          <w:p>
            <w:pPr>
              <w:pStyle w:val="Compact"/>
            </w:pPr>
            <w:r>
              <w:t xml:space="preserve">~10% выручки</w:t>
            </w:r>
          </w:p>
        </w:tc>
      </w:tr>
      <w:tr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Стратегическая важность</w:t>
            </w:r>
          </w:p>
        </w:tc>
        <w:tc>
          <w:tcPr>
            <w:tcW w:w="7002" w:type="dxa"/>
          </w:tcPr>
          <w:tcPr/>
          <w:tcPr>
            <w:tcW w:w="7002" w:type="dxa"/>
          </w:tcPr>
          <w:p>
            <w:pPr>
              <w:pStyle w:val="Compact"/>
            </w:pPr>
            <w:r>
              <w:t xml:space="preserve">Растущий сегмент B2B</w:t>
            </w:r>
          </w:p>
        </w:tc>
      </w:tr>
      <w:tr>
        <w:tc>
          <w:tcPr>
            <w:tcW w:w="2597" w:type="dxa"/>
          </w:tcPr>
          <w:tcPr/>
          <w:tcPr>
            <w:tcW w:w="259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7002" w:type="dxa"/>
          </w:tcPr>
          <w:tcPr/>
          <w:tcPr>
            <w:tcW w:w="7002" w:type="dxa"/>
          </w:tcPr>
          <w:p>
            <w:pPr>
              <w:pStyle w:val="Compact"/>
            </w:pPr>
            <w:r>
              <w:t xml:space="preserve">20-50 запросов/месяц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что-такое-mice"/>
    <w:p>
      <w:pPr>
        <w:pStyle w:val="Heading2"/>
      </w:pPr>
      <w:r>
        <w:t xml:space="preserve">2. Что такое MICE</w:t>
      </w:r>
    </w:p>
    <w:p>
      <w:pPr>
        <w:pStyle w:val="FirstParagraph"/>
      </w:pPr>
      <w:r>
        <w:rPr>
          <w:b/>
          <w:bCs/>
        </w:rPr>
        <w:t xml:space="preserve">MICE</w:t>
      </w:r>
      <w:r>
        <w:t xml:space="preserve"> </w:t>
      </w:r>
      <w:r>
        <w:t xml:space="preserve">— аббревиатура для сегмента корпоративного туризма: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eetings — деловые встречи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</w:t>
      </w:r>
      <w:r>
        <w:t xml:space="preserve">ncentives — поощрительные поездки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onferences — конференции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</w:t>
      </w:r>
      <w:r>
        <w:t xml:space="preserve">xhibitions — выставки</w:t>
      </w:r>
    </w:p>
    <w:p>
      <w:pPr>
        <w:pStyle w:val="BodyText"/>
      </w:pPr>
      <w:r>
        <w:t xml:space="preserve">Дополнительно департамент занимается: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Бизнес-тревел</w:t>
      </w:r>
      <w:r>
        <w:t xml:space="preserve"> </w:t>
      </w:r>
      <w:r>
        <w:t xml:space="preserve">— командировки сотрудников компаний-клиентов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Въездной туризм</w:t>
      </w:r>
      <w:r>
        <w:t xml:space="preserve"> </w:t>
      </w:r>
      <w:r>
        <w:t xml:space="preserve">— приём иностранных групп в России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Групповое бронирование</w:t>
      </w:r>
      <w:r>
        <w:t xml:space="preserve"> </w:t>
      </w:r>
      <w:r>
        <w:t xml:space="preserve">— корпоративные группы от 10 человек</w:t>
      </w:r>
    </w:p>
    <w:p>
      <w:r>
        <w:pict>
          <v:rect style="width:0;height:1.5pt" o:hralign="center" o:hrstd="t" o:hr="t"/>
        </w:pict>
      </w:r>
    </w:p>
    <w:bookmarkEnd w:id="10"/>
    <w:bookmarkStart w:id="13" w:name="границы-процесса"/>
    <w:p>
      <w:pPr>
        <w:pStyle w:val="Heading2"/>
      </w:pPr>
      <w:r>
        <w:t xml:space="preserve">3. Границы процесса</w:t>
      </w:r>
    </w:p>
    <w:bookmarkStart w:id="11" w:name="триггер-вход"/>
    <w:p>
      <w:pPr>
        <w:pStyle w:val="Heading3"/>
      </w:pPr>
      <w:r>
        <w:t xml:space="preserve">Триггер (вход)</w:t>
      </w:r>
    </w:p>
    <w:p>
      <w:pPr>
        <w:pStyle w:val="Compact"/>
        <w:numPr>
          <w:ilvl w:val="0"/>
          <w:numId w:val="1001"/>
        </w:numPr>
      </w:pPr>
      <w:r>
        <w:t xml:space="preserve">Входящий запрос от корпоративного клиента</w:t>
      </w:r>
    </w:p>
    <w:p>
      <w:pPr>
        <w:pStyle w:val="Compact"/>
        <w:numPr>
          <w:ilvl w:val="0"/>
          <w:numId w:val="1001"/>
        </w:numPr>
      </w:pPr>
      <w:r>
        <w:t xml:space="preserve">Запрос от агентства на групповое бронирование</w:t>
      </w:r>
    </w:p>
    <w:p>
      <w:pPr>
        <w:pStyle w:val="Compact"/>
        <w:numPr>
          <w:ilvl w:val="0"/>
          <w:numId w:val="1001"/>
        </w:numPr>
      </w:pPr>
      <w:r>
        <w:t xml:space="preserve">Участие в тендере на госплощадках</w:t>
      </w:r>
    </w:p>
    <w:p>
      <w:pPr>
        <w:pStyle w:val="Compact"/>
        <w:numPr>
          <w:ilvl w:val="0"/>
          <w:numId w:val="1001"/>
        </w:numPr>
      </w:pPr>
      <w:r>
        <w:t xml:space="preserve">Запрос на организацию мероприятия</w:t>
      </w:r>
    </w:p>
    <w:bookmarkEnd w:id="11"/>
    <w:bookmarkStart w:id="12" w:name="результат-выход"/>
    <w:p>
      <w:pPr>
        <w:pStyle w:val="Heading3"/>
      </w:pPr>
      <w:r>
        <w:t xml:space="preserve">Результат (выход)</w:t>
      </w:r>
    </w:p>
    <w:p>
      <w:pPr>
        <w:pStyle w:val="Compact"/>
        <w:numPr>
          <w:ilvl w:val="0"/>
          <w:numId w:val="1002"/>
        </w:numPr>
      </w:pPr>
      <w:r>
        <w:t xml:space="preserve">Проведённое мероприятие / поездка</w:t>
      </w:r>
    </w:p>
    <w:p>
      <w:pPr>
        <w:pStyle w:val="Compact"/>
        <w:numPr>
          <w:ilvl w:val="0"/>
          <w:numId w:val="1002"/>
        </w:numPr>
      </w:pPr>
      <w:r>
        <w:t xml:space="preserve">Оплаченные услуги</w:t>
      </w:r>
    </w:p>
    <w:p>
      <w:pPr>
        <w:pStyle w:val="Compact"/>
        <w:numPr>
          <w:ilvl w:val="0"/>
          <w:numId w:val="1002"/>
        </w:numPr>
      </w:pPr>
      <w:r>
        <w:t xml:space="preserve">Закрывающие документы</w:t>
      </w:r>
    </w:p>
    <w:p>
      <w:pPr>
        <w:pStyle w:val="Compact"/>
        <w:numPr>
          <w:ilvl w:val="0"/>
          <w:numId w:val="1002"/>
        </w:numPr>
      </w:pPr>
      <w:r>
        <w:t xml:space="preserve">Удовлетворённый корпоративный клиент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участники-процесса"/>
    <w:p>
      <w:pPr>
        <w:pStyle w:val="Heading2"/>
      </w:pPr>
      <w:r>
        <w:t xml:space="preserve">4. Участники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879"/>
        <w:gridCol w:w="2609"/>
        <w:gridCol w:w="780"/>
        <w:gridCol w:w="3330"/>
      </w:tblGrid>
      <w:tr>
        <w:trPr>
          <w:tblHeader w:val="on"/>
        </w:trPr>
        <w:tc>
          <w:tcPr>
            <w:tcW w:w="287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7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60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0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Подразделение</w:t>
            </w:r>
          </w:p>
        </w:tc>
        <w:tc>
          <w:tcPr>
            <w:tcW w:w="78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8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Кол-во</w:t>
            </w:r>
          </w:p>
        </w:tc>
        <w:tc>
          <w:tcPr>
            <w:tcW w:w="333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33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>
            <w:tcW w:w="2879" w:type="dxa"/>
          </w:tcPr>
          <w:tcPr/>
          <w:tcPr>
            <w:tcW w:w="2879" w:type="dxa"/>
          </w:tcPr>
          <w:p>
            <w:pPr>
              <w:pStyle w:val="Compact"/>
            </w:pPr>
            <w:r>
              <w:t xml:space="preserve">Менеджер группового бронирования</w:t>
            </w:r>
          </w:p>
        </w:tc>
        <w:tc>
          <w:tcPr>
            <w:tcW w:w="2609" w:type="dxa"/>
          </w:tcPr>
          <w:tcPr/>
          <w:tcPr>
            <w:tcW w:w="2609" w:type="dxa"/>
          </w:tcPr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330" w:type="dxa"/>
          </w:tcPr>
          <w:tcPr/>
          <w:tcPr>
            <w:tcW w:w="3330" w:type="dxa"/>
          </w:tcPr>
          <w:p>
            <w:pPr>
              <w:pStyle w:val="Compact"/>
            </w:pPr>
            <w:r>
              <w:t xml:space="preserve">Обработка запросов, формирование смет</w:t>
            </w:r>
          </w:p>
        </w:tc>
      </w:tr>
      <w:tr>
        <w:tc>
          <w:tcPr>
            <w:tcW w:w="2879" w:type="dxa"/>
          </w:tcPr>
          <w:tcPr/>
          <w:tcPr>
            <w:tcW w:w="2879" w:type="dxa"/>
          </w:tcPr>
          <w:p>
            <w:pPr>
              <w:pStyle w:val="Compact"/>
            </w:pPr>
            <w:r>
              <w:t xml:space="preserve">Менеджер бизнес-тревел</w:t>
            </w:r>
          </w:p>
        </w:tc>
        <w:tc>
          <w:tcPr>
            <w:tcW w:w="2609" w:type="dxa"/>
          </w:tcPr>
          <w:tcPr/>
          <w:tcPr>
            <w:tcW w:w="2609" w:type="dxa"/>
          </w:tcPr>
          <w:p>
            <w:pPr>
              <w:pStyle w:val="Compact"/>
            </w:pPr>
            <w:r>
              <w:t xml:space="preserve">Отдел бизнес-тревел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330" w:type="dxa"/>
          </w:tcPr>
          <w:tcPr/>
          <w:tcPr>
            <w:tcW w:w="3330" w:type="dxa"/>
          </w:tcPr>
          <w:p>
            <w:pPr>
              <w:pStyle w:val="Compact"/>
            </w:pPr>
            <w:r>
              <w:t xml:space="preserve">Корпоративные командировки</w:t>
            </w:r>
          </w:p>
        </w:tc>
      </w:tr>
      <w:tr>
        <w:tc>
          <w:tcPr>
            <w:tcW w:w="2879" w:type="dxa"/>
          </w:tcPr>
          <w:tcPr/>
          <w:tcPr>
            <w:tcW w:w="2879" w:type="dxa"/>
          </w:tcPr>
          <w:p>
            <w:pPr>
              <w:pStyle w:val="Compact"/>
            </w:pPr>
            <w:r>
              <w:t xml:space="preserve">Менеджер въездного туризма</w:t>
            </w:r>
          </w:p>
        </w:tc>
        <w:tc>
          <w:tcPr>
            <w:tcW w:w="2609" w:type="dxa"/>
          </w:tcPr>
          <w:tcPr/>
          <w:tcPr>
            <w:tcW w:w="2609" w:type="dxa"/>
          </w:tcPr>
          <w:p>
            <w:pPr>
              <w:pStyle w:val="Compact"/>
            </w:pPr>
            <w:r>
              <w:t xml:space="preserve">Отдел въездного туризма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330" w:type="dxa"/>
          </w:tcPr>
          <w:tcPr/>
          <w:tcPr>
            <w:tcW w:w="3330" w:type="dxa"/>
          </w:tcPr>
          <w:p>
            <w:pPr>
              <w:pStyle w:val="Compact"/>
            </w:pPr>
            <w:r>
              <w:t xml:space="preserve">Приём иностранных групп</w:t>
            </w:r>
          </w:p>
        </w:tc>
      </w:tr>
      <w:tr>
        <w:tc>
          <w:tcPr>
            <w:tcW w:w="2879" w:type="dxa"/>
          </w:tcPr>
          <w:tcPr/>
          <w:tcPr>
            <w:tcW w:w="2879" w:type="dxa"/>
          </w:tcPr>
          <w:p>
            <w:pPr>
              <w:pStyle w:val="Compact"/>
            </w:pPr>
            <w:r>
              <w:t xml:space="preserve">Бухгалтер</w:t>
            </w:r>
          </w:p>
        </w:tc>
        <w:tc>
          <w:tcPr>
            <w:tcW w:w="2609" w:type="dxa"/>
          </w:tcPr>
          <w:tcPr/>
          <w:tcPr>
            <w:tcW w:w="2609" w:type="dxa"/>
          </w:tcPr>
          <w:p>
            <w:pPr>
              <w:pStyle w:val="Compact"/>
            </w:pPr>
            <w:r>
              <w:t xml:space="preserve">Бухгалтерия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3330" w:type="dxa"/>
          </w:tcPr>
          <w:tcPr/>
          <w:tcPr>
            <w:tcW w:w="3330" w:type="dxa"/>
          </w:tcPr>
          <w:p>
            <w:pPr>
              <w:pStyle w:val="Compact"/>
            </w:pPr>
            <w:r>
              <w:t xml:space="preserve">Счета, закрывающие документы</w:t>
            </w:r>
          </w:p>
        </w:tc>
      </w:tr>
      <w:tr>
        <w:tc>
          <w:tcPr>
            <w:tcW w:w="2879" w:type="dxa"/>
          </w:tcPr>
          <w:tcPr/>
          <w:tcPr>
            <w:tcW w:w="2879" w:type="dxa"/>
          </w:tcPr>
          <w:p>
            <w:pPr>
              <w:pStyle w:val="Compact"/>
            </w:pPr>
            <w:r>
              <w:t xml:space="preserve">Юрист</w:t>
            </w:r>
          </w:p>
        </w:tc>
        <w:tc>
          <w:tcPr>
            <w:tcW w:w="2609" w:type="dxa"/>
          </w:tcPr>
          <w:tcPr/>
          <w:tcPr>
            <w:tcW w:w="2609" w:type="dxa"/>
          </w:tcPr>
          <w:p>
            <w:pPr>
              <w:pStyle w:val="Compact"/>
            </w:pPr>
            <w:r>
              <w:t xml:space="preserve">Юридический отдел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3330" w:type="dxa"/>
          </w:tcPr>
          <w:tcPr/>
          <w:tcPr>
            <w:tcW w:w="3330" w:type="dxa"/>
          </w:tcPr>
          <w:p>
            <w:pPr>
              <w:pStyle w:val="Compact"/>
            </w:pPr>
            <w:r>
              <w:t xml:space="preserve">Договоры с поставщиками</w:t>
            </w:r>
          </w:p>
        </w:tc>
      </w:tr>
      <w:tr>
        <w:tc>
          <w:tcPr>
            <w:tcW w:w="2879" w:type="dxa"/>
          </w:tcPr>
          <w:tcPr/>
          <w:tcPr>
            <w:tcW w:w="287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609" w:type="dxa"/>
          </w:tcPr>
          <w:tcPr/>
          <w:tcPr>
            <w:tcW w:w="2609" w:type="dxa"/>
          </w:tcPr>
          <w:p>
            <w:pPr>
              <w:pStyle w:val="Compact"/>
            </w:pPr>
            <w:r>
              <w:t xml:space="preserve">4 подразделения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w="3330" w:type="dxa"/>
          </w:tcPr>
          <w:tcPr/>
          <w:tcPr>
            <w:tcW w:w="3330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4" w:name="этапы-процесса"/>
    <w:p>
      <w:pPr>
        <w:pStyle w:val="Heading2"/>
      </w:pPr>
      <w:r>
        <w:t xml:space="preserve">5. Этапы процесса</w:t>
      </w:r>
    </w:p>
    <w:bookmarkStart w:id="15" w:name="этап-1-приём-и-анализ-запроса"/>
    <w:p>
      <w:pPr>
        <w:pStyle w:val="Heading3"/>
      </w:pPr>
      <w:r>
        <w:t xml:space="preserve">Этап 1: Приём и анализ запроса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25"/>
        <w:gridCol w:w="6474"/>
      </w:tblGrid>
      <w:tr>
        <w:trPr>
          <w:tblHeader w:val="on"/>
        </w:trPr>
        <w:tc>
          <w:tcPr>
            <w:tcW w:w="312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2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47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47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Email, Битрикс24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2 часа (первичный ответ)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Внутри отдела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Получение запроса (email, телефон, форма на сайте)</w:t>
      </w:r>
      <w:r>
        <w:t xml:space="preserve"> </w:t>
      </w:r>
      <w:r>
        <w:t xml:space="preserve">2. Регистрация в CRM</w:t>
      </w:r>
      <w:r>
        <w:t xml:space="preserve"> </w:t>
      </w:r>
      <w:r>
        <w:t xml:space="preserve">3. Первичный контакт с клиентом</w:t>
      </w:r>
      <w:r>
        <w:t xml:space="preserve"> </w:t>
      </w:r>
      <w:r>
        <w:t xml:space="preserve">4. Уточнение деталей запроса:</w:t>
      </w:r>
      <w:r>
        <w:t xml:space="preserve"> </w:t>
      </w:r>
      <w:r>
        <w:t xml:space="preserve">- Даты и продолжительность</w:t>
      </w:r>
      <w:r>
        <w:t xml:space="preserve"> </w:t>
      </w:r>
      <w:r>
        <w:t xml:space="preserve">- Количество участников</w:t>
      </w:r>
      <w:r>
        <w:t xml:space="preserve"> </w:t>
      </w:r>
      <w:r>
        <w:t xml:space="preserve">- Направление и категория размещения</w:t>
      </w:r>
      <w:r>
        <w:t xml:space="preserve"> </w:t>
      </w:r>
      <w:r>
        <w:t xml:space="preserve">- Бюджет</w:t>
      </w:r>
      <w:r>
        <w:t xml:space="preserve"> </w:t>
      </w:r>
      <w:r>
        <w:t xml:space="preserve">- Специальные требования (конференц-залы, кейтеринг, трансферы)</w:t>
      </w:r>
    </w:p>
    <w:p>
      <w:r>
        <w:pict>
          <v:rect style="width:0;height:1.5pt" o:hralign="center" o:hrstd="t" o:hr="t"/>
        </w:pict>
      </w:r>
    </w:p>
    <w:bookmarkEnd w:id="15"/>
    <w:bookmarkStart w:id="16" w:name="этап-2-запрос-поставщиков"/>
    <w:p>
      <w:pPr>
        <w:pStyle w:val="Heading3"/>
      </w:pPr>
      <w:r>
        <w:t xml:space="preserve">Этап 2: Запрос поставщиков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920"/>
        <w:gridCol w:w="7680"/>
      </w:tblGrid>
      <w:tr>
        <w:trPr>
          <w:tblHeader w:val="on"/>
        </w:trPr>
        <w:tc>
          <w:tcPr>
            <w:tcW w:w="192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2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68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68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Email, Сайты поставщиков (Броневик, Островок, Aviasales)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24-48 часов</w:t>
            </w:r>
          </w:p>
        </w:tc>
      </w:tr>
      <w:tr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Ответы от поставщиков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Формирование запросов в отели / DMC</w:t>
      </w:r>
      <w:r>
        <w:t xml:space="preserve"> </w:t>
      </w:r>
      <w:r>
        <w:t xml:space="preserve">2. Запрос перелёта для группы (Транспортный отдел)</w:t>
      </w:r>
      <w:r>
        <w:t xml:space="preserve"> </w:t>
      </w:r>
      <w:r>
        <w:t xml:space="preserve">3. Запрос дополнительных услуг (трансферы, экскурсии, кейтеринг)</w:t>
      </w:r>
      <w:r>
        <w:t xml:space="preserve"> </w:t>
      </w:r>
      <w:r>
        <w:t xml:space="preserve">4. Сбор и сравнение предложений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УЗКОЕ МЕСТО: Сложные запросы с множеством переменных</w:t>
      </w:r>
      <w:r>
        <w:t xml:space="preserve"> </w:t>
      </w:r>
      <w:r>
        <w:t xml:space="preserve">- Долгое ожидание ответов от зарубежных партнёров</w:t>
      </w:r>
      <w:r>
        <w:t xml:space="preserve"> </w:t>
      </w:r>
      <w:r>
        <w:t xml:space="preserve">- Нет стандартизированных форм запросов</w:t>
      </w:r>
    </w:p>
    <w:p>
      <w:r>
        <w:pict>
          <v:rect style="width:0;height:1.5pt" o:hralign="center" o:hrstd="t" o:hr="t"/>
        </w:pict>
      </w:r>
    </w:p>
    <w:bookmarkEnd w:id="16"/>
    <w:bookmarkStart w:id="17" w:name="этап-3-формирование-сметы-и-презентации"/>
    <w:p>
      <w:pPr>
        <w:pStyle w:val="Heading3"/>
      </w:pPr>
      <w:r>
        <w:t xml:space="preserve">Этап 3: Формирование сметы и презентации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25"/>
        <w:gridCol w:w="6474"/>
      </w:tblGrid>
      <w:tr>
        <w:trPr>
          <w:tblHeader w:val="on"/>
        </w:trPr>
        <w:tc>
          <w:tcPr>
            <w:tcW w:w="312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2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47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47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Excel, PowerPoint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1-3 дня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Клиент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Расчёт стоимости по всем компонентам</w:t>
      </w:r>
      <w:r>
        <w:t xml:space="preserve"> </w:t>
      </w:r>
      <w:r>
        <w:t xml:space="preserve">2. Формирование нескольких вариантов (базовый / оптимальный / премиум)</w:t>
      </w:r>
      <w:r>
        <w:t xml:space="preserve"> </w:t>
      </w:r>
      <w:r>
        <w:t xml:space="preserve">3. Создание презентации с описанием программы</w:t>
      </w:r>
      <w:r>
        <w:t xml:space="preserve"> </w:t>
      </w:r>
      <w:r>
        <w:t xml:space="preserve">4. Расчёт маржинальности</w:t>
      </w:r>
      <w:r>
        <w:t xml:space="preserve"> </w:t>
      </w:r>
      <w:r>
        <w:t xml:space="preserve">5. Отправка клиенту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УЗКОЕ МЕСТО: Полностью ручной процесс</w:t>
      </w:r>
      <w:r>
        <w:t xml:space="preserve"> </w:t>
      </w:r>
      <w:r>
        <w:t xml:space="preserve">- Нет шаблонов смет</w:t>
      </w:r>
      <w:r>
        <w:t xml:space="preserve"> </w:t>
      </w:r>
      <w:r>
        <w:t xml:space="preserve">- Долгое время подготовки сложных КП</w:t>
      </w:r>
    </w:p>
    <w:p>
      <w:r>
        <w:pict>
          <v:rect style="width:0;height:1.5pt" o:hralign="center" o:hrstd="t" o:hr="t"/>
        </w:pict>
      </w:r>
    </w:p>
    <w:bookmarkEnd w:id="17"/>
    <w:bookmarkStart w:id="18" w:name="этап-4-переговоры-и-согласование"/>
    <w:p>
      <w:pPr>
        <w:pStyle w:val="Heading3"/>
      </w:pPr>
      <w:r>
        <w:t xml:space="preserve">Этап 4: Переговоры и согласование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25"/>
        <w:gridCol w:w="6474"/>
      </w:tblGrid>
      <w:tr>
        <w:trPr>
          <w:tblHeader w:val="on"/>
        </w:trPr>
        <w:tc>
          <w:tcPr>
            <w:tcW w:w="312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2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47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47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Email, Мессенджеры, Встречи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По ситуации (1-4 недели)</w:t>
            </w:r>
          </w:p>
        </w:tc>
      </w:tr>
      <w:tr>
        <w:tc>
          <w:tcPr>
            <w:tcW w:w="3125" w:type="dxa"/>
          </w:tcPr>
          <w:tcPr/>
          <w:tcPr>
            <w:tcW w:w="31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6474" w:type="dxa"/>
          </w:tcPr>
          <w:tcPr/>
          <w:tcPr>
            <w:tcW w:w="6474" w:type="dxa"/>
          </w:tcPr>
          <w:p>
            <w:pPr>
              <w:pStyle w:val="Compact"/>
            </w:pPr>
            <w:r>
              <w:t xml:space="preserve">Внутри этапа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Получение обратной связи от клиента</w:t>
      </w:r>
      <w:r>
        <w:t xml:space="preserve"> </w:t>
      </w:r>
      <w:r>
        <w:t xml:space="preserve">2. Корректировка предложения</w:t>
      </w:r>
      <w:r>
        <w:t xml:space="preserve"> </w:t>
      </w:r>
      <w:r>
        <w:t xml:space="preserve">3. Дополнительные запросы поставщикам</w:t>
      </w:r>
      <w:r>
        <w:t xml:space="preserve"> </w:t>
      </w:r>
      <w:r>
        <w:t xml:space="preserve">4. Согласование финальных условий</w:t>
      </w:r>
      <w:r>
        <w:t xml:space="preserve"> </w:t>
      </w:r>
      <w:r>
        <w:t xml:space="preserve">5. Подготовка к бронированию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Многократные итерации пересчёта</w:t>
      </w:r>
      <w:r>
        <w:t xml:space="preserve"> </w:t>
      </w:r>
      <w:r>
        <w:t xml:space="preserve">- Изменение условий от поставщиков</w:t>
      </w:r>
    </w:p>
    <w:p>
      <w:r>
        <w:pict>
          <v:rect style="width:0;height:1.5pt" o:hralign="center" o:hrstd="t" o:hr="t"/>
        </w:pict>
      </w:r>
    </w:p>
    <w:bookmarkEnd w:id="18"/>
    <w:bookmarkStart w:id="19" w:name="этап-5-бронирование-и-договоры"/>
    <w:p>
      <w:pPr>
        <w:pStyle w:val="Heading3"/>
      </w:pPr>
      <w:r>
        <w:t xml:space="preserve">Этап 5: Бронирование и договоры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88"/>
        <w:gridCol w:w="6912"/>
      </w:tblGrid>
      <w:tr>
        <w:trPr>
          <w:tblHeader w:val="on"/>
        </w:trPr>
        <w:tc>
          <w:tcPr>
            <w:tcW w:w="268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8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91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91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912" w:type="dxa"/>
          </w:tcPr>
          <w:tcPr/>
          <w:tcPr>
            <w:tcW w:w="6912" w:type="dxa"/>
          </w:tcPr>
          <w:p>
            <w:pPr>
              <w:pStyle w:val="Compact"/>
            </w:pPr>
            <w:r>
              <w:t xml:space="preserve">Отдел группового бронирования, Юрист</w:t>
            </w:r>
          </w:p>
        </w:tc>
      </w:tr>
      <w:tr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912" w:type="dxa"/>
          </w:tcPr>
          <w:tcPr/>
          <w:tcPr>
            <w:tcW w:w="6912" w:type="dxa"/>
          </w:tcPr>
          <w:p>
            <w:pPr>
              <w:pStyle w:val="Compact"/>
            </w:pPr>
            <w:r>
              <w:t xml:space="preserve">САМО-тур, Email</w:t>
            </w:r>
          </w:p>
        </w:tc>
      </w:tr>
      <w:tr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912" w:type="dxa"/>
          </w:tcPr>
          <w:tcPr/>
          <w:tcPr>
            <w:tcW w:w="6912" w:type="dxa"/>
          </w:tcPr>
          <w:p>
            <w:pPr>
              <w:pStyle w:val="Compact"/>
            </w:pPr>
            <w:r>
              <w:t xml:space="preserve">2-5 дней</w:t>
            </w:r>
          </w:p>
        </w:tc>
      </w:tr>
      <w:tr>
        <w:tc>
          <w:tcPr>
            <w:tcW w:w="2688" w:type="dxa"/>
          </w:tcPr>
          <w:tcPr/>
          <w:tcPr>
            <w:tcW w:w="26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6912" w:type="dxa"/>
          </w:tcPr>
          <w:tcPr/>
          <w:tcPr>
            <w:tcW w:w="6912" w:type="dxa"/>
          </w:tcPr>
          <w:p>
            <w:pPr>
              <w:pStyle w:val="Compact"/>
            </w:pPr>
            <w:r>
              <w:t xml:space="preserve">Бухгалтерия (счета)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Бронирование услуг у поставщиков</w:t>
      </w:r>
      <w:r>
        <w:t xml:space="preserve"> </w:t>
      </w:r>
      <w:r>
        <w:t xml:space="preserve">2. Заключение договоров с поставщиками (через Юриста)</w:t>
      </w:r>
      <w:r>
        <w:t xml:space="preserve"> </w:t>
      </w:r>
      <w:r>
        <w:t xml:space="preserve">3. Ввод заявки в САМО-тур</w:t>
      </w:r>
      <w:r>
        <w:t xml:space="preserve"> </w:t>
      </w:r>
      <w:r>
        <w:t xml:space="preserve">4. Согласование условий с клиентом</w:t>
      </w:r>
      <w:r>
        <w:t xml:space="preserve"> </w:t>
      </w:r>
      <w:r>
        <w:t xml:space="preserve">5. Подписание договора с клиентом</w:t>
      </w:r>
    </w:p>
    <w:p>
      <w:r>
        <w:pict>
          <v:rect style="width:0;height:1.5pt" o:hralign="center" o:hrstd="t" o:hr="t"/>
        </w:pict>
      </w:r>
    </w:p>
    <w:bookmarkEnd w:id="19"/>
    <w:bookmarkStart w:id="20" w:name="этап-6-оплата-и-документооборот"/>
    <w:p>
      <w:pPr>
        <w:pStyle w:val="Heading3"/>
      </w:pPr>
      <w:r>
        <w:t xml:space="preserve">Этап 6: Оплата и документооборот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00"/>
        <w:gridCol w:w="7200"/>
      </w:tblGrid>
      <w:tr>
        <w:trPr>
          <w:tblHeader w:val="on"/>
        </w:trPr>
        <w:tc>
          <w:tcPr>
            <w:tcW w:w="24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2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Бухгалтерия, Отдел группового бронирования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1С, САМО-тур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По условиям договора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Внутри этапа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Заказ счёта в бухгалтерии</w:t>
      </w:r>
      <w:r>
        <w:t xml:space="preserve"> </w:t>
      </w:r>
      <w:r>
        <w:t xml:space="preserve">2. Отправка счёта клиенту</w:t>
      </w:r>
      <w:r>
        <w:t xml:space="preserve"> </w:t>
      </w:r>
      <w:r>
        <w:t xml:space="preserve">3. Контроль поступления оплаты</w:t>
      </w:r>
      <w:r>
        <w:t xml:space="preserve"> </w:t>
      </w:r>
      <w:r>
        <w:t xml:space="preserve">4. Оплата поставщикам</w:t>
      </w:r>
      <w:r>
        <w:t xml:space="preserve"> </w:t>
      </w:r>
      <w:r>
        <w:t xml:space="preserve">5. Формирование закрывающих документов</w:t>
      </w:r>
    </w:p>
    <w:p>
      <w:r>
        <w:pict>
          <v:rect style="width:0;height:1.5pt" o:hralign="center" o:hrstd="t" o:hr="t"/>
        </w:pict>
      </w:r>
    </w:p>
    <w:bookmarkEnd w:id="20"/>
    <w:bookmarkStart w:id="22" w:name="этап-7-исполнение-и-сопровождение"/>
    <w:p>
      <w:pPr>
        <w:pStyle w:val="Heading3"/>
      </w:pPr>
      <w:r>
        <w:t xml:space="preserve">Этап 7: Исполнение и сопровождение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600"/>
        <w:gridCol w:w="8000"/>
      </w:tblGrid>
      <w:tr>
        <w:trPr>
          <w:tblHeader w:val="on"/>
        </w:trPr>
        <w:tc>
          <w:tcPr>
            <w:tcW w:w="16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6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0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80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Отдел группового бронирования, Отдел круглосуточной работы с клиентами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Мессенджеры, Телефон, Битрикс24, САМО-тур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24/7 во время поездки</w:t>
            </w:r>
          </w:p>
        </w:tc>
      </w:tr>
      <w:tr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8000" w:type="dxa"/>
          </w:tcPr>
          <w:tcPr/>
          <w:tcPr>
            <w:tcW w:w="8000" w:type="dxa"/>
          </w:tcPr>
          <w:p>
            <w:pPr>
              <w:pStyle w:val="Compact"/>
            </w:pPr>
            <w:r>
              <w:t xml:space="preserve">Линия 24/7 (нерабочее время и экстренные ситуации)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Выдача документов (ваучеры, билеты)</w:t>
      </w:r>
      <w:r>
        <w:t xml:space="preserve"> </w:t>
      </w:r>
      <w:r>
        <w:t xml:space="preserve">2. Курирование группы во время поездки</w:t>
      </w:r>
      <w:r>
        <w:t xml:space="preserve"> </w:t>
      </w:r>
      <w:r>
        <w:t xml:space="preserve">3. Оперативное решение проблем</w:t>
      </w:r>
      <w:r>
        <w:t xml:space="preserve"> </w:t>
      </w:r>
      <w:r>
        <w:t xml:space="preserve">4. Координация с принимающей стороной</w:t>
      </w:r>
    </w:p>
    <w:bookmarkStart w:id="21" w:name="Xadba7148e5db80614e630c49b6c2236a4cf778e"/>
    <w:p>
      <w:pPr>
        <w:pStyle w:val="Heading4"/>
      </w:pPr>
      <w:r>
        <w:t xml:space="preserve">Маршрутизация MICE-обращений на линию 24/7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446"/>
        <w:gridCol w:w="8153"/>
      </w:tblGrid>
      <w:tr>
        <w:trPr>
          <w:tblHeader w:val="on"/>
        </w:trPr>
        <w:tc>
          <w:tcPr>
            <w:tcW w:w="144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44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15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815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446" w:type="dxa"/>
          </w:tcPr>
          <w:tcPr/>
          <w:tcPr>
            <w:tcW w:w="14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8153" w:type="dxa"/>
          </w:tcPr>
          <w:tcPr/>
          <w:tcPr>
            <w:tcW w:w="8153" w:type="dxa"/>
          </w:tcPr>
          <w:p>
            <w:pPr>
              <w:pStyle w:val="Compact"/>
            </w:pPr>
            <w:r>
              <w:t xml:space="preserve">Отдел круглосуточной работы с клиентами</w:t>
            </w:r>
          </w:p>
        </w:tc>
      </w:tr>
      <w:tr>
        <w:tc>
          <w:tcPr>
            <w:tcW w:w="1446" w:type="dxa"/>
          </w:tcPr>
          <w:tcPr/>
          <w:tcPr>
            <w:tcW w:w="14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Триггер</w:t>
            </w:r>
          </w:p>
        </w:tc>
        <w:tc>
          <w:tcPr>
            <w:tcW w:w="8153" w:type="dxa"/>
          </w:tcPr>
          <w:tcPr/>
          <w:tcPr>
            <w:tcW w:w="8153" w:type="dxa"/>
          </w:tcPr>
          <w:p>
            <w:pPr>
              <w:pStyle w:val="Compact"/>
            </w:pPr>
            <w:r>
              <w:t xml:space="preserve">Обращение MICE-клиента в нерабочее время / экстренная ситуация</w:t>
            </w:r>
          </w:p>
        </w:tc>
      </w:tr>
      <w:tr>
        <w:tc>
          <w:tcPr>
            <w:tcW w:w="1446" w:type="dxa"/>
          </w:tcPr>
          <w:tcPr/>
          <w:tcPr>
            <w:tcW w:w="14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8153" w:type="dxa"/>
          </w:tcPr>
          <w:tcPr/>
          <w:tcPr>
            <w:tcW w:w="8153" w:type="dxa"/>
          </w:tcPr>
          <w:p>
            <w:pPr>
              <w:pStyle w:val="Compact"/>
            </w:pPr>
            <w:r>
              <w:t xml:space="preserve">Ответ ≤15 мин, решение ≤2 часа</w:t>
            </w:r>
          </w:p>
        </w:tc>
      </w:tr>
      <w:tr>
        <w:tc>
          <w:tcPr>
            <w:tcW w:w="1446" w:type="dxa"/>
          </w:tcPr>
          <w:tcPr/>
          <w:tcPr>
            <w:tcW w:w="14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w="8153" w:type="dxa"/>
          </w:tcPr>
          <w:tcPr/>
          <w:tcPr>
            <w:tcW w:w="8153" w:type="dxa"/>
          </w:tcPr>
          <w:p>
            <w:pPr>
              <w:pStyle w:val="Compact"/>
            </w:pPr>
            <w:r>
              <w:t xml:space="preserve">КРИТИЧНО для корпоративных клиентов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это критично:</w:t>
      </w:r>
      <w:r>
        <w:t xml:space="preserve"> </w:t>
      </w:r>
      <w:r>
        <w:t xml:space="preserve">- Корпоративные клиенты (B2B) имеют</w:t>
      </w:r>
      <w:r>
        <w:t xml:space="preserve"> </w:t>
      </w:r>
      <w:r>
        <w:rPr>
          <w:b/>
          <w:bCs/>
        </w:rPr>
        <w:t xml:space="preserve">высокие ожидания по уровню сервиса</w:t>
      </w:r>
      <w:r>
        <w:t xml:space="preserve"> </w:t>
      </w:r>
      <w:r>
        <w:t xml:space="preserve">- MICE-мероприятия часто проходят</w:t>
      </w:r>
      <w:r>
        <w:t xml:space="preserve"> </w:t>
      </w:r>
      <w:r>
        <w:rPr>
          <w:b/>
          <w:bCs/>
        </w:rPr>
        <w:t xml:space="preserve">в нестандартное время</w:t>
      </w:r>
      <w:r>
        <w:t xml:space="preserve"> </w:t>
      </w:r>
      <w:r>
        <w:t xml:space="preserve">(ранние вылеты, вечерние мероприятия, выходные)</w:t>
      </w:r>
      <w:r>
        <w:t xml:space="preserve"> </w:t>
      </w:r>
      <w:r>
        <w:t xml:space="preserve">- Потеря доверия корпоративного клиента =</w:t>
      </w:r>
      <w:r>
        <w:t xml:space="preserve"> </w:t>
      </w:r>
      <w:r>
        <w:rPr>
          <w:b/>
          <w:bCs/>
        </w:rPr>
        <w:t xml:space="preserve">потеря долгосрочного контракта</w:t>
      </w:r>
      <w:r>
        <w:t xml:space="preserve"> </w:t>
      </w:r>
      <w:r>
        <w:t xml:space="preserve">(средний чек в 5-10 раз выше B2C)</w:t>
      </w:r>
    </w:p>
    <w:p>
      <w:pPr>
        <w:pStyle w:val="BodyText"/>
      </w:pPr>
      <w:r>
        <w:rPr>
          <w:b/>
          <w:bCs/>
        </w:rPr>
        <w:t xml:space="preserve">Типичные сценарии MICE:</w:t>
      </w:r>
      <w:r>
        <w:t xml:space="preserve"> </w:t>
      </w:r>
      <w:r>
        <w:t xml:space="preserve">- Проблемы с групповым трансфером (задержка, неявка)</w:t>
      </w:r>
      <w:r>
        <w:t xml:space="preserve"> </w:t>
      </w:r>
      <w:r>
        <w:t xml:space="preserve">- Изменение программы мероприятия (экстренно)</w:t>
      </w:r>
      <w:r>
        <w:t xml:space="preserve"> </w:t>
      </w:r>
      <w:r>
        <w:t xml:space="preserve">- Проблемы с конференц-залом / оборудованием</w:t>
      </w:r>
      <w:r>
        <w:t xml:space="preserve"> </w:t>
      </w:r>
      <w:r>
        <w:t xml:space="preserve">- Медицинские ситуации участников</w:t>
      </w:r>
      <w:r>
        <w:t xml:space="preserve"> </w:t>
      </w:r>
      <w:r>
        <w:t xml:space="preserve">- Отмена рейса группы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этап-8-закрытие-и-анализ"/>
    <w:p>
      <w:pPr>
        <w:pStyle w:val="Heading3"/>
      </w:pPr>
      <w:r>
        <w:t xml:space="preserve">Этап 8: Закрытие и анализ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00"/>
        <w:gridCol w:w="7200"/>
      </w:tblGrid>
      <w:tr>
        <w:trPr>
          <w:tblHeader w:val="on"/>
        </w:trPr>
        <w:tc>
          <w:tcPr>
            <w:tcW w:w="24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2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Отдел группового бронирования, Бухгалтерия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САМО-тур, 1С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5-10 дней после завершения</w:t>
            </w:r>
          </w:p>
        </w:tc>
      </w:tr>
      <w:tr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7200" w:type="dxa"/>
          </w:tcPr>
          <w:tcPr/>
          <w:tcPr>
            <w:tcW w:w="7200" w:type="dxa"/>
          </w:tcPr>
          <w:p>
            <w:pPr>
              <w:pStyle w:val="Compact"/>
            </w:pPr>
            <w:r>
              <w:t xml:space="preserve">Клиент (закрывающие)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Сбор актов от поставщиков</w:t>
      </w:r>
      <w:r>
        <w:t xml:space="preserve"> </w:t>
      </w:r>
      <w:r>
        <w:t xml:space="preserve">2. Оформление закрывающих документов</w:t>
      </w:r>
      <w:r>
        <w:t xml:space="preserve"> </w:t>
      </w:r>
      <w:r>
        <w:t xml:space="preserve">3. Отправка клиенту</w:t>
      </w:r>
      <w:r>
        <w:t xml:space="preserve"> </w:t>
      </w:r>
      <w:r>
        <w:t xml:space="preserve">4. Сбор обратной связи</w:t>
      </w:r>
      <w:r>
        <w:t xml:space="preserve"> </w:t>
      </w:r>
      <w:r>
        <w:t xml:space="preserve">5. Анализ маржинальности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поток-процесса"/>
    <w:p>
      <w:pPr>
        <w:pStyle w:val="Heading2"/>
      </w:pPr>
      <w:r>
        <w:t xml:space="preserve">6. Поток процесса</w:t>
      </w:r>
    </w:p>
    <w:p>
      <w:pPr>
        <w:pStyle w:val="FirstParagraph"/>
      </w:pPr>
      <w:r>
        <w:t xml:space="preserve">Процесс начинается с запроса от корпоративного клиента, который принимается отделом группового бронирования (SLA 2 часа на первичный ответ). После уточнения деталей запроса формируются запросы поставщикам и DMC (24-48 часов на сбор предложений).</w:t>
      </w:r>
    </w:p>
    <w:p>
      <w:pPr>
        <w:pStyle w:val="BodyText"/>
      </w:pPr>
      <w:r>
        <w:t xml:space="preserve">На основе полученных данных готовится смета (1-3 дня) с несколькими вариантами ценообразования. После получения сметы клиент вступает в переговоры (1-4 недели), по итогам которых предложение корректируется.</w:t>
      </w:r>
    </w:p>
    <w:p>
      <w:pPr>
        <w:pStyle w:val="BodyText"/>
      </w:pPr>
      <w:r>
        <w:t xml:space="preserve">Параллельно запускаются три направления: бронирование услуг (САМО-тур), работа юриста (договоры с поставщиками), бухгалтерия (счета клиенту). После получения оплаты начинается этап исполнения поездки с круглосуточной поддержкой 24/7.</w:t>
      </w:r>
    </w:p>
    <w:p>
      <w:pPr>
        <w:pStyle w:val="BodyText"/>
      </w:pPr>
      <w:r>
        <w:t xml:space="preserve">В течение 10 дней после завершения поездки оформляются закрывающие документы и передаются клиенту вместе с запросом обратной связи.</w:t>
      </w:r>
    </w:p>
    <w:p>
      <w:r>
        <w:pict>
          <v:rect style="width:0;height:1.5pt" o:hralign="center" o:hrstd="t" o:hr="t"/>
        </w:pict>
      </w:r>
    </w:p>
    <w:bookmarkEnd w:id="25"/>
    <w:bookmarkStart w:id="26" w:name="системы-и-инструменты"/>
    <w:p>
      <w:pPr>
        <w:pStyle w:val="Heading2"/>
      </w:pPr>
      <w:r>
        <w:t xml:space="preserve">7. Системы и инструменты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840"/>
        <w:gridCol w:w="5760"/>
      </w:tblGrid>
      <w:tr>
        <w:trPr>
          <w:tblHeader w:val="on"/>
        </w:trPr>
        <w:tc>
          <w:tcPr>
            <w:tcW w:w="384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4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576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576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Роль в процессе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Ведение заявок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CRM, задачи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Расчёт смет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PowerPoint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Презентации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ETM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Платформа бизнес-тревел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Основной канал коммуникации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Броневик, Островок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Поиск отелей</w:t>
            </w:r>
          </w:p>
        </w:tc>
      </w:tr>
      <w:tr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Aviasales</w:t>
            </w:r>
          </w:p>
        </w:tc>
        <w:tc>
          <w:tcPr>
            <w:tcW w:w="5760" w:type="dxa"/>
          </w:tcPr>
          <w:tcPr/>
          <w:tcPr>
            <w:tcW w:w="5760" w:type="dxa"/>
          </w:tcPr>
          <w:p>
            <w:pPr>
              <w:pStyle w:val="Compact"/>
            </w:pPr>
            <w:r>
              <w:t xml:space="preserve">Поиск авиа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kpi-процесса"/>
    <w:p>
      <w:pPr>
        <w:pStyle w:val="Heading2"/>
      </w:pPr>
      <w:r>
        <w:t xml:space="preserve">8. KPI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490"/>
        <w:gridCol w:w="2327"/>
        <w:gridCol w:w="1454"/>
        <w:gridCol w:w="2327"/>
      </w:tblGrid>
      <w:tr>
        <w:trPr>
          <w:tblHeader w:val="on"/>
        </w:trPr>
        <w:tc>
          <w:tcPr>
            <w:tcW w:w="349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9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32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32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>
            <w:tcW w:w="145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45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232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32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Время первичного ответа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≤2 часа</w:t>
            </w:r>
          </w:p>
        </w:tc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~4 часа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CRM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Время подготовки КП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≤3 дня</w:t>
            </w:r>
          </w:p>
        </w:tc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5-7 дней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Ручной замер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Конверсия запрос→сделка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≥20%</w:t>
            </w:r>
          </w:p>
        </w:tc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~12%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Средняя маржинальность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≥15%</w:t>
            </w:r>
          </w:p>
        </w:tc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~10%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Финансовый отчёт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NPS корп. клиентов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≥60</w:t>
            </w:r>
          </w:p>
        </w:tc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Нет данных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Опросы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Кол-во активных клиентов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Рост 30%/год</w:t>
            </w:r>
          </w:p>
        </w:tc>
        <w:tc>
          <w:tcPr>
            <w:tcW w:w="1454" w:type="dxa"/>
          </w:tcPr>
          <w:tcPr/>
          <w:tcPr>
            <w:tcW w:w="1454" w:type="dxa"/>
          </w:tcPr>
          <w:p>
            <w:pPr>
              <w:pStyle w:val="Compact"/>
            </w:pPr>
            <w:r>
              <w:t xml:space="preserve">+15%</w:t>
            </w:r>
          </w:p>
        </w:tc>
        <w:tc>
          <w:tcPr>
            <w:tcW w:w="2327" w:type="dxa"/>
          </w:tcPr>
          <w:tcPr/>
          <w:tcPr>
            <w:tcW w:w="2327" w:type="dxa"/>
          </w:tcPr>
          <w:p>
            <w:pPr>
              <w:pStyle w:val="Compact"/>
            </w:pPr>
            <w:r>
              <w:t xml:space="preserve">CRM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риски-и-проблемы"/>
    <w:p>
      <w:pPr>
        <w:pStyle w:val="Heading2"/>
      </w:pPr>
      <w:r>
        <w:t xml:space="preserve">9. Риски и проблемы</w:t>
      </w:r>
    </w:p>
    <w:bookmarkStart w:id="28" w:name="критические"/>
    <w:p>
      <w:pPr>
        <w:pStyle w:val="Heading3"/>
      </w:pPr>
      <w:r>
        <w:t xml:space="preserve">Критические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617"/>
        <w:gridCol w:w="3339"/>
        <w:gridCol w:w="2643"/>
      </w:tblGrid>
      <w:tr>
        <w:trPr>
          <w:tblHeader w:val="on"/>
        </w:trPr>
        <w:tc>
          <w:tcPr>
            <w:tcW w:w="361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61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33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33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264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4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3617" w:type="dxa"/>
          </w:tcPr>
          <w:tcPr/>
          <w:tcPr>
            <w:tcW w:w="361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Относительно новый сегмент</w:t>
            </w:r>
          </w:p>
        </w:tc>
        <w:tc>
          <w:tcPr>
            <w:tcW w:w="3339" w:type="dxa"/>
          </w:tcPr>
          <w:tcPr/>
          <w:tcPr>
            <w:tcW w:w="3339" w:type="dxa"/>
          </w:tcPr>
          <w:p>
            <w:pPr>
              <w:pStyle w:val="Compact"/>
            </w:pPr>
            <w:r>
              <w:t xml:space="preserve">Нет отлаженных процессов</w:t>
            </w:r>
          </w:p>
        </w:tc>
        <w:tc>
          <w:tcPr>
            <w:tcW w:w="2643" w:type="dxa"/>
          </w:tcPr>
          <w:tcPr/>
          <w:tcPr>
            <w:tcW w:w="2643" w:type="dxa"/>
          </w:tcPr>
          <w:p>
            <w:pPr>
              <w:pStyle w:val="Compact"/>
            </w:pPr>
            <w:r>
              <w:t xml:space="preserve">Всё строится с нуля</w:t>
            </w:r>
          </w:p>
        </w:tc>
      </w:tr>
    </w:tbl>
    <w:bookmarkEnd w:id="28"/>
    <w:bookmarkStart w:id="29" w:name="высокие"/>
    <w:p>
      <w:pPr>
        <w:pStyle w:val="Heading3"/>
      </w:pPr>
      <w:r>
        <w:t xml:space="preserve">Высокие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406"/>
        <w:gridCol w:w="3200"/>
        <w:gridCol w:w="2993"/>
      </w:tblGrid>
      <w:tr>
        <w:trPr>
          <w:tblHeader w:val="on"/>
        </w:trPr>
        <w:tc>
          <w:tcPr>
            <w:tcW w:w="340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0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2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2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299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99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3406" w:type="dxa"/>
          </w:tcPr>
          <w:tcPr/>
          <w:tcPr>
            <w:tcW w:w="3406" w:type="dxa"/>
          </w:tcPr>
          <w:p>
            <w:pPr>
              <w:pStyle w:val="Compact"/>
            </w:pPr>
            <w:r>
              <w:t xml:space="preserve">Ручное формирование смет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Нет шаблонов, нет автоматизации</w:t>
            </w:r>
          </w:p>
        </w:tc>
        <w:tc>
          <w:tcPr>
            <w:tcW w:w="2993" w:type="dxa"/>
          </w:tcPr>
          <w:tcPr/>
          <w:tcPr>
            <w:tcW w:w="2993" w:type="dxa"/>
          </w:tcPr>
          <w:p>
            <w:pPr>
              <w:pStyle w:val="Compact"/>
            </w:pPr>
            <w:r>
              <w:t xml:space="preserve">Долгое время КП</w:t>
            </w:r>
          </w:p>
        </w:tc>
      </w:tr>
      <w:tr>
        <w:tc>
          <w:tcPr>
            <w:tcW w:w="3406" w:type="dxa"/>
          </w:tcPr>
          <w:tcPr/>
          <w:tcPr>
            <w:tcW w:w="3406" w:type="dxa"/>
          </w:tcPr>
          <w:p>
            <w:pPr>
              <w:pStyle w:val="Compact"/>
            </w:pPr>
            <w:r>
              <w:t xml:space="preserve">Нет регламентов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Относительно новое направление</w:t>
            </w:r>
          </w:p>
        </w:tc>
        <w:tc>
          <w:tcPr>
            <w:tcW w:w="2993" w:type="dxa"/>
          </w:tcPr>
          <w:tcPr/>
          <w:tcPr>
            <w:tcW w:w="2993" w:type="dxa"/>
          </w:tcPr>
          <w:p>
            <w:pPr>
              <w:pStyle w:val="Compact"/>
            </w:pPr>
            <w:r>
              <w:t xml:space="preserve">Зависимость от ключевых людей</w:t>
            </w:r>
          </w:p>
        </w:tc>
      </w:tr>
      <w:tr>
        <w:tc>
          <w:tcPr>
            <w:tcW w:w="3406" w:type="dxa"/>
          </w:tcPr>
          <w:tcPr/>
          <w:tcPr>
            <w:tcW w:w="3406" w:type="dxa"/>
          </w:tcPr>
          <w:p>
            <w:pPr>
              <w:pStyle w:val="Compact"/>
            </w:pPr>
            <w:r>
              <w:t xml:space="preserve">Сложные многокомпонентные запросы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Специфика MICE</w:t>
            </w:r>
          </w:p>
        </w:tc>
        <w:tc>
          <w:tcPr>
            <w:tcW w:w="2993" w:type="dxa"/>
          </w:tcPr>
          <w:tcPr/>
          <w:tcPr>
            <w:tcW w:w="2993" w:type="dxa"/>
          </w:tcPr>
          <w:p>
            <w:pPr>
              <w:pStyle w:val="Compact"/>
            </w:pPr>
            <w:r>
              <w:t xml:space="preserve">Ошибки в расчётах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точки-автоматизации"/>
    <w:p>
      <w:pPr>
        <w:pStyle w:val="Heading2"/>
      </w:pPr>
      <w:r>
        <w:t xml:space="preserve">10. Точки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839"/>
        <w:gridCol w:w="2377"/>
        <w:gridCol w:w="3987"/>
        <w:gridCol w:w="1608"/>
        <w:gridCol w:w="787"/>
      </w:tblGrid>
      <w:tr>
        <w:trPr>
          <w:tblHeader w:val="on"/>
        </w:trPr>
        <w:tc>
          <w:tcPr>
            <w:tcW w:w="83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83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37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37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398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98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60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60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>
            <w:tcW w:w="78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8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>
            <w:tcW w:w="839" w:type="dxa"/>
          </w:tcPr>
          <w:tcPr/>
          <w:tcPr>
            <w:tcW w:w="839" w:type="dxa"/>
          </w:tcPr>
          <w:p>
            <w:pPr>
              <w:pStyle w:val="Compact"/>
            </w:pPr>
            <w:r>
              <w:t xml:space="preserve">AUTO-MICE-01</w:t>
            </w:r>
          </w:p>
        </w:tc>
        <w:tc>
          <w:tcPr>
            <w:tcW w:w="2377" w:type="dxa"/>
          </w:tcPr>
          <w:tcPr/>
          <w:tcPr>
            <w:tcW w:w="2377" w:type="dxa"/>
          </w:tcPr>
          <w:p>
            <w:pPr>
              <w:pStyle w:val="Compact"/>
            </w:pPr>
            <w:r>
              <w:t xml:space="preserve">Шаблоны смет</w:t>
            </w:r>
          </w:p>
        </w:tc>
        <w:tc>
          <w:tcPr>
            <w:tcW w:w="3987" w:type="dxa"/>
          </w:tcPr>
          <w:tcPr/>
          <w:tcPr>
            <w:tcW w:w="3987" w:type="dxa"/>
          </w:tcPr>
          <w:p>
            <w:pPr>
              <w:pStyle w:val="Compact"/>
            </w:pPr>
            <w:r>
              <w:t xml:space="preserve">Автоформирование смет на основе типовых услуг</w:t>
            </w:r>
          </w:p>
        </w:tc>
        <w:tc>
          <w:tcPr>
            <w:tcW w:w="1608" w:type="dxa"/>
          </w:tcPr>
          <w:tcPr/>
          <w:tcPr>
            <w:tcW w:w="1608" w:type="dxa"/>
          </w:tcPr>
          <w:p>
            <w:pPr>
              <w:pStyle w:val="Compact"/>
            </w:pPr>
            <w:r>
              <w:t xml:space="preserve">-50% время КП</w:t>
            </w:r>
          </w:p>
        </w:tc>
        <w:tc>
          <w:tcPr>
            <w:tcW w:w="787" w:type="dxa"/>
          </w:tcPr>
          <w:tcPr/>
          <w:tcPr>
            <w:tcW w:w="787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839" w:type="dxa"/>
          </w:tcPr>
          <w:tcPr/>
          <w:tcPr>
            <w:tcW w:w="839" w:type="dxa"/>
          </w:tcPr>
          <w:p>
            <w:pPr>
              <w:pStyle w:val="Compact"/>
            </w:pPr>
            <w:r>
              <w:t xml:space="preserve">AUTO-MICE-02</w:t>
            </w:r>
          </w:p>
        </w:tc>
        <w:tc>
          <w:tcPr>
            <w:tcW w:w="2377" w:type="dxa"/>
          </w:tcPr>
          <w:tcPr/>
          <w:tcPr>
            <w:tcW w:w="2377" w:type="dxa"/>
          </w:tcPr>
          <w:p>
            <w:pPr>
              <w:pStyle w:val="Compact"/>
            </w:pPr>
            <w:r>
              <w:t xml:space="preserve">Канал MICE в Сервисе</w:t>
            </w:r>
          </w:p>
        </w:tc>
        <w:tc>
          <w:tcPr>
            <w:tcW w:w="3987" w:type="dxa"/>
          </w:tcPr>
          <w:tcPr/>
          <w:tcPr>
            <w:tcW w:w="3987" w:type="dxa"/>
          </w:tcPr>
          <w:p>
            <w:pPr>
              <w:pStyle w:val="Compact"/>
            </w:pPr>
            <w:r>
              <w:t xml:space="preserve">Выделенная линия поддержки для MICE</w:t>
            </w:r>
          </w:p>
        </w:tc>
        <w:tc>
          <w:tcPr>
            <w:tcW w:w="1608" w:type="dxa"/>
          </w:tcPr>
          <w:tcPr/>
          <w:tcPr>
            <w:tcW w:w="1608" w:type="dxa"/>
          </w:tcPr>
          <w:p>
            <w:pPr>
              <w:pStyle w:val="Compact"/>
            </w:pPr>
            <w:r>
              <w:t xml:space="preserve">Улучшение NPS</w:t>
            </w:r>
          </w:p>
        </w:tc>
        <w:tc>
          <w:tcPr>
            <w:tcW w:w="787" w:type="dxa"/>
          </w:tcPr>
          <w:tcPr/>
          <w:tcPr>
            <w:tcW w:w="787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>
            <w:tcW w:w="839" w:type="dxa"/>
          </w:tcPr>
          <w:tcPr/>
          <w:tcPr>
            <w:tcW w:w="839" w:type="dxa"/>
          </w:tcPr>
          <w:p>
            <w:pPr>
              <w:pStyle w:val="Compact"/>
            </w:pPr>
            <w:r>
              <w:t xml:space="preserve">AUTO-MICE-03</w:t>
            </w:r>
          </w:p>
        </w:tc>
        <w:tc>
          <w:tcPr>
            <w:tcW w:w="2377" w:type="dxa"/>
          </w:tcPr>
          <w:tcPr/>
          <w:tcPr>
            <w:tcW w:w="2377" w:type="dxa"/>
          </w:tcPr>
          <w:p>
            <w:pPr>
              <w:pStyle w:val="Compact"/>
            </w:pPr>
            <w:r>
              <w:t xml:space="preserve">BI-аналитика</w:t>
            </w:r>
          </w:p>
        </w:tc>
        <w:tc>
          <w:tcPr>
            <w:tcW w:w="3987" w:type="dxa"/>
          </w:tcPr>
          <w:tcPr/>
          <w:tcPr>
            <w:tcW w:w="3987" w:type="dxa"/>
          </w:tcPr>
          <w:p>
            <w:pPr>
              <w:pStyle w:val="Compact"/>
            </w:pPr>
            <w:r>
              <w:t xml:space="preserve">Дашборды по MICE-сегменту</w:t>
            </w:r>
          </w:p>
        </w:tc>
        <w:tc>
          <w:tcPr>
            <w:tcW w:w="1608" w:type="dxa"/>
          </w:tcPr>
          <w:tcPr/>
          <w:tcPr>
            <w:tcW w:w="1608" w:type="dxa"/>
          </w:tcPr>
          <w:p>
            <w:pPr>
              <w:pStyle w:val="Compact"/>
            </w:pPr>
            <w:r>
              <w:t xml:space="preserve">Управленческие решения</w:t>
            </w:r>
          </w:p>
        </w:tc>
        <w:tc>
          <w:tcPr>
            <w:tcW w:w="787" w:type="dxa"/>
          </w:tcPr>
          <w:tcPr/>
          <w:tcPr>
            <w:tcW w:w="787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839" w:type="dxa"/>
          </w:tcPr>
          <w:tcPr/>
          <w:tcPr>
            <w:tcW w:w="839" w:type="dxa"/>
          </w:tcPr>
          <w:p>
            <w:pPr>
              <w:pStyle w:val="Compact"/>
            </w:pPr>
            <w:r>
              <w:t xml:space="preserve">AUTO-MICE-04</w:t>
            </w:r>
          </w:p>
        </w:tc>
        <w:tc>
          <w:tcPr>
            <w:tcW w:w="2377" w:type="dxa"/>
          </w:tcPr>
          <w:tcPr/>
          <w:tcPr>
            <w:tcW w:w="2377" w:type="dxa"/>
          </w:tcPr>
          <w:p>
            <w:pPr>
              <w:pStyle w:val="Compact"/>
            </w:pPr>
            <w:r>
              <w:t xml:space="preserve">Интеграция с тендерными площадками</w:t>
            </w:r>
          </w:p>
        </w:tc>
        <w:tc>
          <w:tcPr>
            <w:tcW w:w="3987" w:type="dxa"/>
          </w:tcPr>
          <w:tcPr/>
          <w:tcPr>
            <w:tcW w:w="3987" w:type="dxa"/>
          </w:tcPr>
          <w:p>
            <w:pPr>
              <w:pStyle w:val="Compact"/>
            </w:pPr>
            <w:r>
              <w:t xml:space="preserve">Мониторинг и уведомления о тендерах</w:t>
            </w:r>
          </w:p>
        </w:tc>
        <w:tc>
          <w:tcPr>
            <w:tcW w:w="1608" w:type="dxa"/>
          </w:tcPr>
          <w:tcPr/>
          <w:tcPr>
            <w:tcW w:w="1608" w:type="dxa"/>
          </w:tcPr>
          <w:p>
            <w:pPr>
              <w:pStyle w:val="Compact"/>
            </w:pPr>
            <w:r>
              <w:t xml:space="preserve">+20% новых клиентов</w:t>
            </w:r>
          </w:p>
        </w:tc>
        <w:tc>
          <w:tcPr>
            <w:tcW w:w="787" w:type="dxa"/>
          </w:tcPr>
          <w:tcPr/>
          <w:tcPr>
            <w:tcW w:w="787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839" w:type="dxa"/>
          </w:tcPr>
          <w:tcPr/>
          <w:tcPr>
            <w:tcW w:w="839" w:type="dxa"/>
          </w:tcPr>
          <w:p>
            <w:pPr>
              <w:pStyle w:val="Compact"/>
            </w:pPr>
            <w:r>
              <w:t xml:space="preserve">AUTO-MICE-05</w:t>
            </w:r>
          </w:p>
        </w:tc>
        <w:tc>
          <w:tcPr>
            <w:tcW w:w="2377" w:type="dxa"/>
          </w:tcPr>
          <w:tcPr/>
          <w:tcPr>
            <w:tcW w:w="2377" w:type="dxa"/>
          </w:tcPr>
          <w:p>
            <w:pPr>
              <w:pStyle w:val="Compact"/>
            </w:pPr>
            <w:r>
              <w:t xml:space="preserve">Автомаршрутизация MICE на 24/7</w:t>
            </w:r>
          </w:p>
        </w:tc>
        <w:tc>
          <w:tcPr>
            <w:tcW w:w="3987" w:type="dxa"/>
          </w:tcPr>
          <w:tcPr/>
          <w:tcPr>
            <w:tcW w:w="3987" w:type="dxa"/>
          </w:tcPr>
          <w:p>
            <w:pPr>
              <w:pStyle w:val="Compact"/>
            </w:pPr>
            <w:r>
              <w:t xml:space="preserve">Автоматическое определение MICE-клиента по тегу в Битрикс</w:t>
            </w:r>
          </w:p>
        </w:tc>
        <w:tc>
          <w:tcPr>
            <w:tcW w:w="1608" w:type="dxa"/>
          </w:tcPr>
          <w:tcPr/>
          <w:tcPr>
            <w:tcW w:w="1608" w:type="dxa"/>
          </w:tcPr>
          <w:p>
            <w:pPr>
              <w:pStyle w:val="Compact"/>
            </w:pPr>
            <w:r>
              <w:t xml:space="preserve">Гарантия 24/7 поддержки</w:t>
            </w:r>
          </w:p>
        </w:tc>
        <w:tc>
          <w:tcPr>
            <w:tcW w:w="787" w:type="dxa"/>
          </w:tcPr>
          <w:tcPr/>
          <w:tcPr>
            <w:tcW w:w="787" w:type="dxa"/>
          </w:tcPr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воронка-b2b-продаж-mice"/>
    <w:p>
      <w:pPr>
        <w:pStyle w:val="Heading2"/>
      </w:pPr>
      <w:r>
        <w:t xml:space="preserve">11. Воронка B2B-продаж MICE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490"/>
        <w:gridCol w:w="1309"/>
        <w:gridCol w:w="4800"/>
      </w:tblGrid>
      <w:tr>
        <w:trPr>
          <w:tblHeader w:val="on"/>
        </w:trPr>
        <w:tc>
          <w:tcPr>
            <w:tcW w:w="349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9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130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30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Конверсия</w:t>
            </w:r>
          </w:p>
        </w:tc>
        <w:tc>
          <w:tcPr>
            <w:tcW w:w="48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8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ЛИД (100%)</w:t>
            </w:r>
          </w:p>
        </w:tc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Получение запроса / контакта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КВАЛИФИКАЦИЯ</w:t>
            </w:r>
          </w:p>
        </w:tc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70%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Уточнение потребностей, бюджета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КОММЕРЧЕСКОЕ ПРЕДЛОЖЕНИЕ</w:t>
            </w:r>
          </w:p>
        </w:tc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40%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Смета, презентация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ПЕРЕГОВОРЫ</w:t>
            </w:r>
          </w:p>
        </w:tc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Обсуждение условий, корректировки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ДОГОВОР / БРОНЬ</w:t>
            </w:r>
          </w:p>
        </w:tc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Подписание, предоплата</w:t>
            </w:r>
          </w:p>
        </w:tc>
      </w:tr>
      <w:tr>
        <w:tc>
          <w:tcPr>
            <w:tcW w:w="3490" w:type="dxa"/>
          </w:tcPr>
          <w:tcPr/>
          <w:tcPr>
            <w:tcW w:w="3490" w:type="dxa"/>
          </w:tcPr>
          <w:p>
            <w:pPr>
              <w:pStyle w:val="Compact"/>
            </w:pPr>
            <w:r>
              <w:t xml:space="preserve">ИСПОЛНЕНИЕ</w:t>
            </w:r>
          </w:p>
        </w:tc>
        <w:tc>
          <w:tcPr>
            <w:tcW w:w="1309" w:type="dxa"/>
          </w:tcPr>
          <w:tcPr/>
          <w:tcPr>
            <w:tcW w:w="1309" w:type="dxa"/>
          </w:tcPr>
          <w:p>
            <w:pPr>
              <w:pStyle w:val="Compact"/>
            </w:pPr>
            <w:r>
              <w:t xml:space="preserve">12%</w:t>
            </w:r>
          </w:p>
        </w:tc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Проведение мероприятия / поездки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рекомендации"/>
    <w:p>
      <w:pPr>
        <w:pStyle w:val="Heading2"/>
      </w:pPr>
      <w:r>
        <w:t xml:space="preserve">12. Рекомендации</w:t>
      </w:r>
    </w:p>
    <w:bookmarkStart w:id="33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Создать выделенный канал в Клиентском сервисе</w:t>
      </w:r>
      <w:r>
        <w:t xml:space="preserve"> </w:t>
      </w:r>
      <w:r>
        <w:t xml:space="preserve">для MICE-клиентов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Разработать стандартные шаблоны смет</w:t>
      </w:r>
      <w:r>
        <w:t xml:space="preserve"> </w:t>
      </w:r>
      <w:r>
        <w:t xml:space="preserve">для типовых запросов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Формализовать регламенты</w:t>
      </w:r>
      <w:r>
        <w:t xml:space="preserve"> </w:t>
      </w:r>
      <w:r>
        <w:t xml:space="preserve">взаимодействия с другими отделами</w:t>
      </w:r>
    </w:p>
    <w:bookmarkEnd w:id="33"/>
    <w:bookmarkStart w:id="34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4"/>
        </w:numPr>
      </w:pPr>
      <w:r>
        <w:t xml:space="preserve">Внедрить CRM-воронку для MICE в Битрикс24</w:t>
      </w:r>
    </w:p>
    <w:p>
      <w:pPr>
        <w:pStyle w:val="Compact"/>
        <w:numPr>
          <w:ilvl w:val="0"/>
          <w:numId w:val="1004"/>
        </w:numPr>
      </w:pPr>
      <w:r>
        <w:t xml:space="preserve">Аккредитоваться на тендерных площадках</w:t>
      </w:r>
    </w:p>
    <w:p>
      <w:pPr>
        <w:pStyle w:val="Compact"/>
        <w:numPr>
          <w:ilvl w:val="0"/>
          <w:numId w:val="1004"/>
        </w:numPr>
      </w:pPr>
      <w:r>
        <w:t xml:space="preserve">Разработать программу лояльности для корпоративных клиентов</w:t>
      </w:r>
    </w:p>
    <w:p>
      <w:pPr>
        <w:pStyle w:val="Compact"/>
        <w:numPr>
          <w:ilvl w:val="0"/>
          <w:numId w:val="1004"/>
        </w:numPr>
      </w:pPr>
      <w:r>
        <w:t xml:space="preserve">Создать систему сбора NPS после каждой поездки</w:t>
      </w:r>
    </w:p>
    <w:bookmarkEnd w:id="34"/>
    <w:bookmarkStart w:id="35" w:name="долгосрочные"/>
    <w:p>
      <w:pPr>
        <w:pStyle w:val="Heading3"/>
      </w:pPr>
      <w:r>
        <w:t xml:space="preserve">Долгосрочные</w:t>
      </w:r>
    </w:p>
    <w:p>
      <w:pPr>
        <w:pStyle w:val="Compact"/>
        <w:numPr>
          <w:ilvl w:val="0"/>
          <w:numId w:val="1005"/>
        </w:numPr>
      </w:pPr>
      <w:r>
        <w:t xml:space="preserve">Интеграция с ETM для автоматизации бизнес-тревел</w:t>
      </w:r>
    </w:p>
    <w:p>
      <w:pPr>
        <w:pStyle w:val="Compact"/>
        <w:numPr>
          <w:ilvl w:val="0"/>
          <w:numId w:val="1005"/>
        </w:numPr>
      </w:pPr>
      <w:r>
        <w:t xml:space="preserve">Разработка собственного калькулятора MICE-услуг</w:t>
      </w:r>
    </w:p>
    <w:p>
      <w:pPr>
        <w:pStyle w:val="Compact"/>
        <w:numPr>
          <w:ilvl w:val="0"/>
          <w:numId w:val="1005"/>
        </w:numPr>
      </w:pPr>
      <w:r>
        <w:t xml:space="preserve">Выход на рынок организации выставок и конференций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связь-с-другими-процессами"/>
    <w:p>
      <w:pPr>
        <w:pStyle w:val="Heading2"/>
      </w:pPr>
      <w:r>
        <w:t xml:space="preserve">13. Связь с другими процессами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859"/>
        <w:gridCol w:w="3880"/>
        <w:gridCol w:w="2859"/>
      </w:tblGrid>
      <w:tr>
        <w:trPr>
          <w:tblHeader w:val="on"/>
        </w:trPr>
        <w:tc>
          <w:tcPr>
            <w:tcW w:w="285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5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Процесс</w:t>
            </w:r>
          </w:p>
        </w:tc>
        <w:tc>
          <w:tcPr>
            <w:tcW w:w="388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8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Тип взаимодействия</w:t>
            </w:r>
          </w:p>
        </w:tc>
        <w:tc>
          <w:tcPr>
            <w:tcW w:w="285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5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 передачи</w:t>
            </w:r>
          </w:p>
        </w:tc>
      </w:tr>
      <w:tr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BP-06 (Клиентская поддержка)</w:t>
            </w:r>
          </w:p>
        </w:tc>
        <w:tc>
          <w:tcPr>
            <w:tcW w:w="3880" w:type="dxa"/>
          </w:tcPr>
          <w:tcPr/>
          <w:tcPr>
            <w:tcW w:w="3880" w:type="dxa"/>
          </w:tcPr>
          <w:p>
            <w:pPr>
              <w:pStyle w:val="Compact"/>
            </w:pPr>
            <w:r>
              <w:t xml:space="preserve">Маршрутизация MICE-обращений на 24/7</w:t>
            </w:r>
          </w:p>
        </w:tc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t xml:space="preserve">Линия 24/7 в нерабочее время</w:t>
            </w:r>
          </w:p>
        </w:tc>
      </w:tr>
      <w:tr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>
            <w:tcW w:w="3880" w:type="dxa"/>
          </w:tcPr>
          <w:tcPr/>
          <w:tcPr>
            <w:tcW w:w="3880" w:type="dxa"/>
          </w:tcPr>
          <w:p>
            <w:pPr>
              <w:pStyle w:val="Compact"/>
            </w:pPr>
            <w:r>
              <w:t xml:space="preserve">Бронирование услуг через общую систему</w:t>
            </w:r>
          </w:p>
        </w:tc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BP-04 (Финансы)</w:t>
            </w:r>
          </w:p>
        </w:tc>
        <w:tc>
          <w:tcPr>
            <w:tcW w:w="3880" w:type="dxa"/>
          </w:tcPr>
          <w:tcPr/>
          <w:tcPr>
            <w:tcW w:w="3880" w:type="dxa"/>
          </w:tcPr>
          <w:p>
            <w:pPr>
              <w:pStyle w:val="Compact"/>
            </w:pPr>
            <w:r>
              <w:t xml:space="preserve">Счета, оплаты, закрывающие документы</w:t>
            </w:r>
          </w:p>
        </w:tc>
        <w:tc>
          <w:tcPr>
            <w:tcW w:w="2859" w:type="dxa"/>
          </w:tcPr>
          <w:tcPr/>
          <w:tcPr>
            <w:tcW w:w="2859" w:type="dxa"/>
          </w:tcPr>
          <w:p>
            <w:pPr>
              <w:pStyle w:val="Compact"/>
            </w:pPr>
            <w:r>
              <w:t xml:space="preserve">1С, Бухгалтерия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2026-02-28T17:40:53Z</dcterms:created>
  <dcterms:modified xsi:type="dcterms:W3CDTF">2026-02-28T17:40:53Z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