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p-05-формирование-турпродукта"/>
    <w:p>
      <w:pPr>
        <w:pStyle w:val="Heading1"/>
      </w:pPr>
      <w:r>
        <w:t xml:space="preserve">BP-05: Формирование турпродукта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552"/>
        <w:gridCol w:w="8047"/>
      </w:tblGrid>
      <w:tr>
        <w:trPr>
          <w:tblHeader w:val="on"/>
        </w:trPr>
        <w:tc>
          <w:tcPr>
            <w:tcW w:w="155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55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804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804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>
            <w:tcW w:w="8047" w:type="dxa"/>
          </w:tcPr>
          <w:tcPr/>
          <w:tcPr>
            <w:tcW w:w="8047" w:type="dxa"/>
          </w:tcPr>
          <w:p>
            <w:pPr>
              <w:pStyle w:val="Compact"/>
            </w:pPr>
            <w:r>
              <w:t xml:space="preserve">BP-05</w:t>
            </w:r>
          </w:p>
        </w:tc>
      </w:tr>
      <w:tr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8047" w:type="dxa"/>
          </w:tcPr>
          <w:tcPr/>
          <w:tcPr>
            <w:tcW w:w="8047" w:type="dxa"/>
          </w:tcPr>
          <w:p>
            <w:pPr>
              <w:pStyle w:val="Compact"/>
            </w:pPr>
            <w:r>
              <w:t xml:space="preserve">Формирование турпродукта</w:t>
            </w:r>
          </w:p>
        </w:tc>
      </w:tr>
      <w:tr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8047" w:type="dxa"/>
          </w:tcPr>
          <w:tcPr/>
          <w:tcPr>
            <w:tcW w:w="8047" w:type="dxa"/>
          </w:tcPr>
          <w:p>
            <w:pPr>
              <w:pStyle w:val="Compact"/>
            </w:pPr>
            <w:r>
              <w:t xml:space="preserve">Баландина О.А. (Департамент операционных доходов)</w:t>
            </w:r>
          </w:p>
        </w:tc>
      </w:tr>
      <w:tr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w="8047" w:type="dxa"/>
          </w:tcPr>
          <w:tcPr/>
          <w:tcPr>
            <w:tcW w:w="8047" w:type="dxa"/>
          </w:tcPr>
          <w:p>
            <w:pPr>
              <w:pStyle w:val="Compact"/>
            </w:pPr>
            <w:r>
              <w:t xml:space="preserve">КРИТИЧЕСКИЙ</w:t>
            </w:r>
          </w:p>
        </w:tc>
      </w:tr>
      <w:tr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Влияние</w:t>
            </w:r>
          </w:p>
        </w:tc>
        <w:tc>
          <w:tcPr>
            <w:tcW w:w="8047" w:type="dxa"/>
          </w:tcPr>
          <w:tcPr/>
          <w:tcPr>
            <w:tcW w:w="8047" w:type="dxa"/>
          </w:tcPr>
          <w:p>
            <w:pPr>
              <w:pStyle w:val="Compact"/>
            </w:pPr>
            <w:r>
              <w:t xml:space="preserve">Основа всех продаж — без продукта нет выручки</w:t>
            </w:r>
          </w:p>
        </w:tc>
      </w:tr>
      <w:tr>
        <w:tc>
          <w:tcPr>
            <w:tcW w:w="1552" w:type="dxa"/>
          </w:tcPr>
          <w:tcPr/>
          <w:tcPr>
            <w:tcW w:w="15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8047" w:type="dxa"/>
          </w:tcPr>
          <w:tcPr/>
          <w:tcPr>
            <w:tcW w:w="8047" w:type="dxa"/>
          </w:tcPr>
          <w:p>
            <w:pPr>
              <w:pStyle w:val="Compact"/>
            </w:pPr>
            <w:r>
              <w:t xml:space="preserve">Непрерывно (сезонные пики: март-апрель, сентябрь-октябрь)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структура-департамента"/>
    <w:p>
      <w:pPr>
        <w:pStyle w:val="Heading2"/>
      </w:pPr>
      <w:r>
        <w:t xml:space="preserve">2. Структура департамента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851"/>
        <w:gridCol w:w="3029"/>
        <w:gridCol w:w="764"/>
        <w:gridCol w:w="3955"/>
      </w:tblGrid>
      <w:tr>
        <w:trPr>
          <w:tblHeader w:val="on"/>
        </w:trPr>
        <w:tc>
          <w:tcPr>
            <w:tcW w:w="185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85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Подразделение</w:t>
            </w:r>
          </w:p>
        </w:tc>
        <w:tc>
          <w:tcPr>
            <w:tcW w:w="302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2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Руководитель</w:t>
            </w:r>
          </w:p>
        </w:tc>
        <w:tc>
          <w:tcPr>
            <w:tcW w:w="76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6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Штат</w:t>
            </w:r>
          </w:p>
        </w:tc>
        <w:tc>
          <w:tcPr>
            <w:tcW w:w="395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95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>
            <w:tcW w:w="1851" w:type="dxa"/>
          </w:tcPr>
          <w:tcPr/>
          <w:tcPr>
            <w:tcW w:w="18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Группы стран (5 групп)</w:t>
            </w:r>
          </w:p>
        </w:tc>
        <w:tc>
          <w:tcPr>
            <w:tcW w:w="3029" w:type="dxa"/>
          </w:tcPr>
          <w:tcPr/>
          <w:tcPr>
            <w:tcW w:w="3029" w:type="dxa"/>
          </w:tcPr>
          <w:p>
            <w:pPr>
              <w:pStyle w:val="Compact"/>
            </w:pPr>
            <w:r>
              <w:t xml:space="preserve">Цехович, Андреева, Писцова, Черепова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~12</w:t>
            </w:r>
          </w:p>
        </w:tc>
        <w:tc>
          <w:tcPr>
            <w:tcW w:w="3955" w:type="dxa"/>
          </w:tcPr>
          <w:tcPr/>
          <w:tcPr>
            <w:tcW w:w="3955" w:type="dxa"/>
          </w:tcPr>
          <w:p>
            <w:pPr>
              <w:pStyle w:val="Compact"/>
            </w:pPr>
            <w:r>
              <w:t xml:space="preserve">Контрактинг, переговоры с DMC, продуктовый план</w:t>
            </w:r>
          </w:p>
        </w:tc>
      </w:tr>
      <w:tr>
        <w:tc>
          <w:tcPr>
            <w:tcW w:w="1851" w:type="dxa"/>
          </w:tcPr>
          <w:tcPr/>
          <w:tcPr>
            <w:tcW w:w="18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Группа тарификации</w:t>
            </w:r>
          </w:p>
        </w:tc>
        <w:tc>
          <w:tcPr>
            <w:tcW w:w="3029" w:type="dxa"/>
          </w:tcPr>
          <w:tcPr/>
          <w:tcPr>
            <w:tcW w:w="3029" w:type="dxa"/>
          </w:tcPr>
          <w:p>
            <w:pPr>
              <w:pStyle w:val="Compact"/>
            </w:pPr>
            <w:r>
              <w:t xml:space="preserve">Ильясова Л.Е.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955" w:type="dxa"/>
          </w:tcPr>
          <w:tcPr/>
          <w:tcPr>
            <w:tcW w:w="3955" w:type="dxa"/>
          </w:tcPr>
          <w:p>
            <w:pPr>
              <w:pStyle w:val="Compact"/>
            </w:pPr>
            <w:r>
              <w:t xml:space="preserve">Расчёт и публикация цен, контроль ошибок</w:t>
            </w:r>
          </w:p>
        </w:tc>
      </w:tr>
      <w:tr>
        <w:tc>
          <w:tcPr>
            <w:tcW w:w="1851" w:type="dxa"/>
          </w:tcPr>
          <w:tcPr/>
          <w:tcPr>
            <w:tcW w:w="18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Чартерная группа</w:t>
            </w:r>
          </w:p>
        </w:tc>
        <w:tc>
          <w:tcPr>
            <w:tcW w:w="3029" w:type="dxa"/>
          </w:tcPr>
          <w:tcPr/>
          <w:tcPr>
            <w:tcW w:w="3029" w:type="dxa"/>
          </w:tcPr>
          <w:p>
            <w:pPr>
              <w:pStyle w:val="Compact"/>
            </w:pPr>
            <w:r>
              <w:t xml:space="preserve">Зайцев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955" w:type="dxa"/>
          </w:tcPr>
          <w:tcPr/>
          <w:tcPr>
            <w:tcW w:w="3955" w:type="dxa"/>
          </w:tcPr>
          <w:p>
            <w:pPr>
              <w:pStyle w:val="Compact"/>
            </w:pPr>
            <w:r>
              <w:t xml:space="preserve">Блоки мест, чартерные программы</w:t>
            </w:r>
          </w:p>
        </w:tc>
      </w:tr>
      <w:tr>
        <w:tc>
          <w:tcPr>
            <w:tcW w:w="1851" w:type="dxa"/>
          </w:tcPr>
          <w:tcPr/>
          <w:tcPr>
            <w:tcW w:w="185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3029" w:type="dxa"/>
          </w:tcPr>
          <w:tcPr/>
          <w:tcPr>
            <w:tcW w:w="3029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w="3955" w:type="dxa"/>
          </w:tcPr>
          <w:tcPr/>
          <w:tcPr>
            <w:tcW w:w="3955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ключевые-цели-процесса"/>
    <w:p>
      <w:pPr>
        <w:pStyle w:val="Heading2"/>
      </w:pPr>
      <w:r>
        <w:t xml:space="preserve">3. Ключевые цели процесса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Формирование продуктового портфеля</w:t>
      </w:r>
      <w:r>
        <w:t xml:space="preserve"> </w:t>
      </w:r>
      <w:r>
        <w:t xml:space="preserve">— создание конкурентных туров по всем направлениям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Обеспечение жизнедеятельности продукта</w:t>
      </w:r>
      <w:r>
        <w:t xml:space="preserve"> </w:t>
      </w:r>
      <w:r>
        <w:t xml:space="preserve">— мониторинг конверсии, актуализация цен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Увеличение операционных доходов</w:t>
      </w:r>
      <w:r>
        <w:t xml:space="preserve"> </w:t>
      </w:r>
      <w:r>
        <w:t xml:space="preserve">— работа с наценкой, incentives, kick-backs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Конкурентное ценообразование</w:t>
      </w:r>
      <w:r>
        <w:t xml:space="preserve"> </w:t>
      </w:r>
      <w:r>
        <w:t xml:space="preserve">— поддержание цен на уровне или ниже конкурентов</w:t>
      </w:r>
    </w:p>
    <w:p>
      <w:r>
        <w:pict>
          <v:rect style="width:0;height:1.5pt" o:hralign="center" o:hrstd="t" o:hr="t"/>
        </w:pict>
      </w:r>
    </w:p>
    <w:bookmarkEnd w:id="11"/>
    <w:bookmarkStart w:id="17" w:name="основные-подпроцессы"/>
    <w:p>
      <w:pPr>
        <w:pStyle w:val="Heading2"/>
      </w:pPr>
      <w:r>
        <w:t xml:space="preserve">4. Основные подпроцессы</w:t>
      </w:r>
    </w:p>
    <w:bookmarkStart w:id="12" w:name="формирование-продуктового-плана"/>
    <w:p>
      <w:pPr>
        <w:pStyle w:val="Heading3"/>
      </w:pPr>
      <w:r>
        <w:t xml:space="preserve">4.1. Формирование продуктового плана</w:t>
      </w:r>
    </w:p>
    <w:p>
      <w:pPr>
        <w:pStyle w:val="FirstParagraph"/>
      </w:pPr>
      <w:r>
        <w:t xml:space="preserve">Процесс запускается по триггеру: стратегическая сессия, запрос рынка или появление нового поставщика. Группы стран собирают продуктовые возможности с учётом обратной связи от региональных офисов, проводят анализ рынка и ведут переговоры с DMC.</w:t>
      </w:r>
    </w:p>
    <w:p>
      <w:pPr>
        <w:pStyle w:val="BodyText"/>
      </w:pPr>
      <w:r>
        <w:t xml:space="preserve">На выходе формируется продуктовый план, включающий направления, отели, сезонность и бюджет. План согласовывается с руководством.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Длительный сбор информации с региональных офисов (несистематизированные данные)</w:t>
      </w:r>
      <w:r>
        <w:t xml:space="preserve"> </w:t>
      </w:r>
      <w:r>
        <w:t xml:space="preserve">- Коммуникационные разрывы между отделами</w:t>
      </w:r>
      <w:r>
        <w:t xml:space="preserve"> </w:t>
      </w:r>
      <w:r>
        <w:t xml:space="preserve">- Опора на непроверенные данные регионов</w:t>
      </w:r>
    </w:p>
    <w:p>
      <w:r>
        <w:pict>
          <v:rect style="width:0;height:1.5pt" o:hralign="center" o:hrstd="t" o:hr="t"/>
        </w:pict>
      </w:r>
    </w:p>
    <w:bookmarkEnd w:id="12"/>
    <w:bookmarkStart w:id="13" w:name="ценообразование-7-этапов"/>
    <w:p>
      <w:pPr>
        <w:pStyle w:val="Heading3"/>
      </w:pPr>
      <w:r>
        <w:t xml:space="preserve">4.2. Ценообразование (7 этапов)</w:t>
      </w:r>
    </w:p>
    <w:p>
      <w:pPr>
        <w:pStyle w:val="FirstParagraph"/>
      </w:pPr>
      <w:r>
        <w:t xml:space="preserve">Процесс запускается задачей в Битрикс от группы стран.</w:t>
      </w:r>
    </w:p>
    <w:p>
      <w:pPr>
        <w:pStyle w:val="BodyText"/>
      </w:pPr>
      <w:r>
        <w:rPr>
          <w:b/>
          <w:bCs/>
        </w:rPr>
        <w:t xml:space="preserve">Этап 1: Постановка задачи</w:t>
      </w:r>
      <w:r>
        <w:t xml:space="preserve"> </w:t>
      </w:r>
      <w:r>
        <w:t xml:space="preserve">— Группа стран передаёт задачу руководителю тарификации по шаблону с данными продукта.</w:t>
      </w:r>
    </w:p>
    <w:p>
      <w:pPr>
        <w:pStyle w:val="BodyText"/>
      </w:pPr>
      <w:r>
        <w:rPr>
          <w:b/>
          <w:bCs/>
        </w:rPr>
        <w:t xml:space="preserve">Этап 2: Первичный анализ</w:t>
      </w:r>
      <w:r>
        <w:t xml:space="preserve"> </w:t>
      </w:r>
      <w:r>
        <w:t xml:space="preserve">— Руководитель тарификации проверяет полноту данных. Если данных менее 80% — возврат на доработку.</w:t>
      </w:r>
    </w:p>
    <w:p>
      <w:pPr>
        <w:pStyle w:val="BodyText"/>
      </w:pPr>
      <w:r>
        <w:rPr>
          <w:b/>
          <w:bCs/>
        </w:rPr>
        <w:t xml:space="preserve">Этап 3: Делегирование и оценка сроков</w:t>
      </w:r>
      <w:r>
        <w:t xml:space="preserve"> </w:t>
      </w:r>
      <w:r>
        <w:t xml:space="preserve">— Менеджер анализирует задачу, уточняет детали.</w:t>
      </w:r>
    </w:p>
    <w:p>
      <w:pPr>
        <w:pStyle w:val="BodyText"/>
      </w:pPr>
      <w:r>
        <w:rPr>
          <w:b/>
          <w:bCs/>
        </w:rPr>
        <w:t xml:space="preserve">Этап 4: Расчёт цен</w:t>
      </w:r>
      <w:r>
        <w:t xml:space="preserve"> </w:t>
      </w:r>
      <w:r>
        <w:t xml:space="preserve">— Работа в Excel и САМО-тур. УЗКОЕ МЕСТО: 5 человек на ВСЕ цены компании.</w:t>
      </w:r>
    </w:p>
    <w:p>
      <w:pPr>
        <w:pStyle w:val="BodyText"/>
      </w:pPr>
      <w:r>
        <w:rPr>
          <w:b/>
          <w:bCs/>
        </w:rPr>
        <w:t xml:space="preserve">Этап 5: Проверка публикации</w:t>
      </w:r>
      <w:r>
        <w:t xml:space="preserve"> </w:t>
      </w:r>
      <w:r>
        <w:t xml:space="preserve">— Контроль корректности расчётов на сайте.</w:t>
      </w:r>
    </w:p>
    <w:p>
      <w:pPr>
        <w:pStyle w:val="BodyText"/>
      </w:pPr>
      <w:r>
        <w:rPr>
          <w:b/>
          <w:bCs/>
        </w:rPr>
        <w:t xml:space="preserve">Этап 6: Уведомление продуктолога</w:t>
      </w:r>
      <w:r>
        <w:t xml:space="preserve"> </w:t>
      </w:r>
      <w:r>
        <w:t xml:space="preserve">— Закрытие задачи в CRM.</w:t>
      </w:r>
    </w:p>
    <w:p>
      <w:pPr>
        <w:pStyle w:val="BodyText"/>
      </w:pPr>
      <w:r>
        <w:rPr>
          <w:b/>
          <w:bCs/>
        </w:rPr>
        <w:t xml:space="preserve">Этап 7: Контроль отдела продукта</w:t>
      </w:r>
      <w:r>
        <w:t xml:space="preserve"> </w:t>
      </w:r>
      <w:r>
        <w:t xml:space="preserve">— Может быть пропущен, ошибки не выявляются.</w:t>
      </w:r>
    </w:p>
    <w:p>
      <w:pPr>
        <w:pStyle w:val="BodyText"/>
      </w:pPr>
      <w:r>
        <w:rPr>
          <w:b/>
          <w:bCs/>
        </w:rPr>
        <w:t xml:space="preserve">Время выполнения:</w:t>
      </w:r>
      <w:r>
        <w:t xml:space="preserve"> </w:t>
      </w:r>
      <w:r>
        <w:t xml:space="preserve">2-5 дней (целевое), 2-5 недель (фактическое)</w:t>
      </w:r>
    </w:p>
    <w:p>
      <w:r>
        <w:pict>
          <v:rect style="width:0;height:1.5pt" o:hralign="center" o:hrstd="t" o:hr="t"/>
        </w:pict>
      </w:r>
    </w:p>
    <w:bookmarkEnd w:id="13"/>
    <w:bookmarkStart w:id="14" w:name="ценообразование-чартерного-продукта"/>
    <w:p>
      <w:pPr>
        <w:pStyle w:val="Heading3"/>
      </w:pPr>
      <w:r>
        <w:t xml:space="preserve">4.3. Ценообразование чартерного продукта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155"/>
        <w:gridCol w:w="7444"/>
      </w:tblGrid>
      <w:tr>
        <w:trPr>
          <w:tblHeader w:val="on"/>
        </w:trPr>
        <w:tc>
          <w:tcPr>
            <w:tcW w:w="215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5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44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44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155" w:type="dxa"/>
          </w:tcPr>
          <w:tcPr/>
          <w:tcPr>
            <w:tcW w:w="21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444" w:type="dxa"/>
          </w:tcPr>
          <w:tcPr/>
          <w:tcPr>
            <w:tcW w:w="7444" w:type="dxa"/>
          </w:tcPr>
          <w:p>
            <w:pPr>
              <w:pStyle w:val="Compact"/>
            </w:pPr>
            <w:r>
              <w:t xml:space="preserve">Чартерная группа + Группа тарификации</w:t>
            </w:r>
          </w:p>
        </w:tc>
      </w:tr>
      <w:tr>
        <w:tc>
          <w:tcPr>
            <w:tcW w:w="2155" w:type="dxa"/>
          </w:tcPr>
          <w:tcPr/>
          <w:tcPr>
            <w:tcW w:w="21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444" w:type="dxa"/>
          </w:tcPr>
          <w:tcPr/>
          <w:tcPr>
            <w:tcW w:w="7444" w:type="dxa"/>
          </w:tcPr>
          <w:p>
            <w:pPr>
              <w:pStyle w:val="Compact"/>
            </w:pPr>
            <w:r>
              <w:t xml:space="preserve">Excel, САМО-тур, Агрегаторы</w:t>
            </w:r>
          </w:p>
        </w:tc>
      </w:tr>
      <w:tr>
        <w:tc>
          <w:tcPr>
            <w:tcW w:w="2155" w:type="dxa"/>
          </w:tcPr>
          <w:tcPr/>
          <w:tcPr>
            <w:tcW w:w="21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>
            <w:tcW w:w="7444" w:type="dxa"/>
          </w:tcPr>
          <w:tcPr/>
          <w:tcPr>
            <w:tcW w:w="7444" w:type="dxa"/>
          </w:tcPr>
          <w:p>
            <w:pPr>
              <w:pStyle w:val="Compact"/>
            </w:pPr>
            <w:r>
              <w:t xml:space="preserve">Ежедневно (динамическая корректировка)</w:t>
            </w:r>
          </w:p>
        </w:tc>
      </w:tr>
      <w:tr>
        <w:tc>
          <w:tcPr>
            <w:tcW w:w="2155" w:type="dxa"/>
          </w:tcPr>
          <w:tcPr/>
          <w:tcPr>
            <w:tcW w:w="21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w="7444" w:type="dxa"/>
          </w:tcPr>
          <w:tcPr/>
          <w:tcPr>
            <w:tcW w:w="7444" w:type="dxa"/>
          </w:tcPr>
          <w:p>
            <w:pPr>
              <w:pStyle w:val="Compact"/>
            </w:pPr>
            <w:r>
              <w:t xml:space="preserve">КРИТИЧЕСКАЯ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Процесс:</w:t>
      </w:r>
      <w:r>
        <w:t xml:space="preserve"> </w:t>
      </w:r>
      <w:r>
        <w:t xml:space="preserve">1. Мониторинг загрузки рейсов</w:t>
      </w:r>
      <w:r>
        <w:t xml:space="preserve"> </w:t>
      </w:r>
      <w:r>
        <w:t xml:space="preserve">2. Анализ конкурентов (автоматические отчёты)</w:t>
      </w:r>
      <w:r>
        <w:t xml:space="preserve"> </w:t>
      </w:r>
      <w:r>
        <w:t xml:space="preserve">3. Ручная корректировка цен</w:t>
      </w:r>
      <w:r>
        <w:t xml:space="preserve"> </w:t>
      </w:r>
      <w:r>
        <w:t xml:space="preserve">4. Публикация обновлённых цен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Полностью ручной процесс корректировки</w:t>
      </w:r>
      <w:r>
        <w:t xml:space="preserve"> </w:t>
      </w:r>
      <w:r>
        <w:t xml:space="preserve">- Задержки в реакции на рынок</w:t>
      </w:r>
      <w:r>
        <w:t xml:space="preserve"> </w:t>
      </w:r>
      <w:r>
        <w:t xml:space="preserve">- Риск «горения» мест (минимизация чистого горения)</w:t>
      </w:r>
    </w:p>
    <w:p>
      <w:r>
        <w:pict>
          <v:rect style="width:0;height:1.5pt" o:hralign="center" o:hrstd="t" o:hr="t"/>
        </w:pict>
      </w:r>
    </w:p>
    <w:bookmarkEnd w:id="14"/>
    <w:bookmarkStart w:id="15" w:name="контроль-жизнедеятельности-продукта"/>
    <w:p>
      <w:pPr>
        <w:pStyle w:val="Heading3"/>
      </w:pPr>
      <w:r>
        <w:t xml:space="preserve">4.4. Контроль жизнедеятельности продукта</w:t>
      </w:r>
    </w:p>
    <w:p>
      <w:pPr>
        <w:pStyle w:val="FirstParagraph"/>
      </w:pPr>
      <w:r>
        <w:t xml:space="preserve">Процесс запускается ежеквартальным отчётом или по запросу руководителя.</w:t>
      </w:r>
    </w:p>
    <w:p>
      <w:pPr>
        <w:pStyle w:val="Compact"/>
        <w:numPr>
          <w:ilvl w:val="0"/>
          <w:numId w:val="1002"/>
        </w:numPr>
      </w:pPr>
      <w:r>
        <w:t xml:space="preserve">Выгрузка данных по продукту (API Space Travel): название тура, дата публикации, количество заявок</w:t>
      </w:r>
    </w:p>
    <w:p>
      <w:pPr>
        <w:pStyle w:val="Compact"/>
        <w:numPr>
          <w:ilvl w:val="0"/>
          <w:numId w:val="1002"/>
        </w:numPr>
      </w:pPr>
      <w:r>
        <w:t xml:space="preserve">Фильтрация (туры старше 6 месяцев)</w:t>
      </w:r>
    </w:p>
    <w:p>
      <w:pPr>
        <w:pStyle w:val="Compact"/>
        <w:numPr>
          <w:ilvl w:val="0"/>
          <w:numId w:val="1002"/>
        </w:numPr>
      </w:pPr>
      <w:r>
        <w:t xml:space="preserve">Ручная аналитика по странам/направлениям</w:t>
      </w:r>
    </w:p>
    <w:p>
      <w:pPr>
        <w:pStyle w:val="Compact"/>
        <w:numPr>
          <w:ilvl w:val="0"/>
          <w:numId w:val="1002"/>
        </w:numPr>
      </w:pPr>
      <w:r>
        <w:t xml:space="preserve">Сводные таблицы и презентация</w:t>
      </w:r>
    </w:p>
    <w:p>
      <w:pPr>
        <w:pStyle w:val="Compact"/>
        <w:numPr>
          <w:ilvl w:val="0"/>
          <w:numId w:val="1002"/>
        </w:numPr>
      </w:pPr>
      <w:r>
        <w:t xml:space="preserve">Презентация на собрании департамента</w:t>
      </w:r>
    </w:p>
    <w:p>
      <w:pPr>
        <w:pStyle w:val="Compact"/>
        <w:numPr>
          <w:ilvl w:val="0"/>
          <w:numId w:val="1002"/>
        </w:numPr>
      </w:pPr>
      <w:r>
        <w:t xml:space="preserve">Решения от групп стран: корректировка/удаление (возможны задержки в принятии решений)</w:t>
      </w:r>
    </w:p>
    <w:p>
      <w:r>
        <w:pict>
          <v:rect style="width:0;height:1.5pt" o:hralign="center" o:hrstd="t" o:hr="t"/>
        </w:pict>
      </w:r>
    </w:p>
    <w:bookmarkEnd w:id="15"/>
    <w:bookmarkStart w:id="16" w:name="выявление-и-устранение-ошибок"/>
    <w:p>
      <w:pPr>
        <w:pStyle w:val="Heading3"/>
      </w:pPr>
      <w:r>
        <w:t xml:space="preserve">4.5. Выявление и устранение ошибок</w:t>
      </w:r>
    </w:p>
    <w:p>
      <w:pPr>
        <w:pStyle w:val="FirstParagraph"/>
      </w:pPr>
      <w:r>
        <w:rPr>
          <w:b/>
          <w:bCs/>
        </w:rPr>
        <w:t xml:space="preserve">Типы ошибок: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371"/>
        <w:gridCol w:w="3840"/>
        <w:gridCol w:w="4388"/>
      </w:tblGrid>
      <w:tr>
        <w:trPr>
          <w:tblHeader w:val="on"/>
        </w:trPr>
        <w:tc>
          <w:tcPr>
            <w:tcW w:w="137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37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384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4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438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38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Процесс устранения</w:t>
            </w:r>
          </w:p>
        </w:tc>
      </w:tr>
      <w:tr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Тарификационная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Неоднозначные формулировки, ошибка в Excel</w:t>
            </w:r>
          </w:p>
        </w:tc>
        <w:tc>
          <w:tcPr>
            <w:tcW w:w="4388" w:type="dxa"/>
          </w:tcPr>
          <w:tcPr/>
          <w:tcPr>
            <w:tcW w:w="4388" w:type="dxa"/>
          </w:tcPr>
          <w:p>
            <w:pPr>
              <w:pStyle w:val="Compact"/>
            </w:pPr>
            <w:r>
              <w:t xml:space="preserve">Группа тарификации → исправление → анализ причин</w:t>
            </w:r>
          </w:p>
        </w:tc>
      </w:tr>
      <w:tr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Техническая</w:t>
            </w:r>
          </w:p>
        </w:tc>
        <w:tc>
          <w:tcPr>
            <w:tcW w:w="3840" w:type="dxa"/>
          </w:tcPr>
          <w:tcPr/>
          <w:tcPr>
            <w:tcW w:w="3840" w:type="dxa"/>
          </w:tcPr>
          <w:p>
            <w:pPr>
              <w:pStyle w:val="Compact"/>
            </w:pPr>
            <w:r>
              <w:t xml:space="preserve">Ошибка САМО-софт, интеграции</w:t>
            </w:r>
          </w:p>
        </w:tc>
        <w:tc>
          <w:tcPr>
            <w:tcW w:w="4388" w:type="dxa"/>
          </w:tcPr>
          <w:tcPr/>
          <w:tcPr>
            <w:tcW w:w="4388" w:type="dxa"/>
          </w:tcPr>
          <w:p>
            <w:pPr>
              <w:pStyle w:val="Compact"/>
            </w:pPr>
            <w:r>
              <w:t xml:space="preserve">Группа тарификации → IT → САМО-софт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Поступление задачи (Битрикс/почта) с описанием ошибки</w:t>
      </w:r>
      <w:r>
        <w:t xml:space="preserve"> </w:t>
      </w:r>
      <w:r>
        <w:t xml:space="preserve">2. Определение типа ошибки</w:t>
      </w:r>
      <w:r>
        <w:t xml:space="preserve"> </w:t>
      </w:r>
      <w:r>
        <w:t xml:space="preserve">3. Исправление / делегирование в IT</w:t>
      </w:r>
      <w:r>
        <w:t xml:space="preserve"> </w:t>
      </w:r>
      <w:r>
        <w:t xml:space="preserve">4. Анализ затронутых бронирований</w:t>
      </w:r>
      <w:r>
        <w:t xml:space="preserve"> </w:t>
      </w:r>
      <w:r>
        <w:t xml:space="preserve">5. Минимизация финансовых потерь (подключение групп стран)</w:t>
      </w:r>
      <w:r>
        <w:t xml:space="preserve"> </w:t>
      </w:r>
      <w:r>
        <w:t xml:space="preserve">6. Отчёт руководителю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системы-и-интеграции"/>
    <w:p>
      <w:pPr>
        <w:pStyle w:val="Heading2"/>
      </w:pPr>
      <w:r>
        <w:t xml:space="preserve">5. Системы и интеграции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91"/>
        <w:gridCol w:w="3742"/>
        <w:gridCol w:w="2766"/>
      </w:tblGrid>
      <w:tr>
        <w:trPr>
          <w:tblHeader w:val="on"/>
        </w:trPr>
        <w:tc>
          <w:tcPr>
            <w:tcW w:w="309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9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374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74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76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76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Интеграция</w:t>
            </w:r>
          </w:p>
        </w:tc>
      </w:tr>
      <w:tr>
        <w:tc>
          <w:tcPr>
            <w:tcW w:w="3091" w:type="dxa"/>
          </w:tcPr>
          <w:tcPr/>
          <w:tcPr>
            <w:tcW w:w="30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Основная база продуктов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← Excel (расчёты)</w:t>
            </w:r>
          </w:p>
        </w:tc>
      </w:tr>
      <w:tr>
        <w:tc>
          <w:tcPr>
            <w:tcW w:w="3091" w:type="dxa"/>
          </w:tcPr>
          <w:tcPr/>
          <w:tcPr>
            <w:tcW w:w="30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САМО-Incoming</w:t>
            </w:r>
          </w:p>
        </w:tc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Прямой контрактинг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← САМО-тур</w:t>
            </w:r>
          </w:p>
        </w:tc>
      </w:tr>
      <w:tr>
        <w:tc>
          <w:tcPr>
            <w:tcW w:w="3091" w:type="dxa"/>
          </w:tcPr>
          <w:tcPr/>
          <w:tcPr>
            <w:tcW w:w="30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Расчёт цен, чек-листы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→ САМО-тур</w:t>
            </w:r>
          </w:p>
        </w:tc>
      </w:tr>
      <w:tr>
        <w:tc>
          <w:tcPr>
            <w:tcW w:w="3091" w:type="dxa"/>
          </w:tcPr>
          <w:tcPr/>
          <w:tcPr>
            <w:tcW w:w="30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Задачи, коммуникации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↔ САМО-тур</w:t>
            </w:r>
          </w:p>
        </w:tc>
      </w:tr>
      <w:tr>
        <w:tc>
          <w:tcPr>
            <w:tcW w:w="3091" w:type="dxa"/>
          </w:tcPr>
          <w:tcPr/>
          <w:tcPr>
            <w:tcW w:w="309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Сайт spacetravel.ru</w:t>
            </w:r>
          </w:p>
        </w:tc>
        <w:tc>
          <w:tcPr>
            <w:tcW w:w="3742" w:type="dxa"/>
          </w:tcPr>
          <w:tcPr/>
          <w:tcPr>
            <w:tcW w:w="3742" w:type="dxa"/>
          </w:tcPr>
          <w:p>
            <w:pPr>
              <w:pStyle w:val="Compact"/>
            </w:pPr>
            <w:r>
              <w:t xml:space="preserve">Публикация туров</w:t>
            </w:r>
          </w:p>
        </w:tc>
        <w:tc>
          <w:tcPr>
            <w:tcW w:w="2766" w:type="dxa"/>
          </w:tcPr>
          <w:tcPr/>
          <w:tcPr>
            <w:tcW w:w="2766" w:type="dxa"/>
          </w:tcPr>
          <w:p>
            <w:pPr>
              <w:pStyle w:val="Compact"/>
            </w:pPr>
            <w:r>
              <w:t xml:space="preserve">← САМО-тур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kpi-процесса"/>
    <w:p>
      <w:pPr>
        <w:pStyle w:val="Heading2"/>
      </w:pPr>
      <w:r>
        <w:t xml:space="preserve">6. KPI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000"/>
        <w:gridCol w:w="2133"/>
        <w:gridCol w:w="1333"/>
        <w:gridCol w:w="2133"/>
      </w:tblGrid>
      <w:tr>
        <w:trPr>
          <w:tblHeader w:val="on"/>
        </w:trPr>
        <w:tc>
          <w:tcPr>
            <w:tcW w:w="40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0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13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3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>
            <w:tcW w:w="133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33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213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3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t xml:space="preserve">Время публикации продукта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≤5 дней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2-5 недель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Битрикс (задачи)</w:t>
            </w:r>
          </w:p>
        </w:tc>
      </w:tr>
      <w:tr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t xml:space="preserve">Конверсия новых туров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≥10%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Нет данных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Отчёт по API</w:t>
            </w:r>
          </w:p>
        </w:tc>
      </w:tr>
      <w:tr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t xml:space="preserve">Ошибки в расчётах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≤1%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~3-5%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Ручной подсчёт</w:t>
            </w:r>
          </w:p>
        </w:tc>
      </w:tr>
      <w:tr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t xml:space="preserve">Туры без конверсии (&gt;6 мес)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≤20%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~30%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Отчёт конверсии</w:t>
            </w:r>
          </w:p>
        </w:tc>
      </w:tr>
      <w:tr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t xml:space="preserve">Время устранения ошибок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≤4 часа</w:t>
            </w:r>
          </w:p>
        </w:tc>
        <w:tc>
          <w:tcPr>
            <w:tcW w:w="1333" w:type="dxa"/>
          </w:tcPr>
          <w:tcPr/>
          <w:tcPr>
            <w:tcW w:w="1333" w:type="dxa"/>
          </w:tcPr>
          <w:p>
            <w:pPr>
              <w:pStyle w:val="Compact"/>
            </w:pPr>
            <w:r>
              <w:t xml:space="preserve">~1-2 дня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Битрикс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риски-и-проблемы"/>
    <w:p>
      <w:pPr>
        <w:pStyle w:val="Heading2"/>
      </w:pPr>
      <w:r>
        <w:t xml:space="preserve">7. Риски и проблемы</w:t>
      </w:r>
    </w:p>
    <w:bookmarkStart w:id="20" w:name="критические"/>
    <w:p>
      <w:pPr>
        <w:pStyle w:val="Heading3"/>
      </w:pPr>
      <w:r>
        <w:t xml:space="preserve">Критические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339"/>
        <w:gridCol w:w="3130"/>
        <w:gridCol w:w="3130"/>
      </w:tblGrid>
      <w:tr>
        <w:trPr>
          <w:tblHeader w:val="on"/>
        </w:trPr>
        <w:tc>
          <w:tcPr>
            <w:tcW w:w="333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33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13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3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313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3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3339" w:type="dxa"/>
          </w:tcPr>
          <w:tcPr/>
          <w:tcPr>
            <w:tcW w:w="33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Группа тарификации — узкое место</w:t>
            </w:r>
          </w:p>
        </w:tc>
        <w:tc>
          <w:tcPr>
            <w:tcW w:w="3130" w:type="dxa"/>
          </w:tcPr>
          <w:tcPr/>
          <w:tcPr>
            <w:tcW w:w="3130" w:type="dxa"/>
          </w:tcPr>
          <w:p>
            <w:pPr>
              <w:pStyle w:val="Compact"/>
            </w:pPr>
            <w:r>
              <w:t xml:space="preserve">5 человек на ВСЕ цены компании</w:t>
            </w:r>
          </w:p>
        </w:tc>
        <w:tc>
          <w:tcPr>
            <w:tcW w:w="3130" w:type="dxa"/>
          </w:tcPr>
          <w:tcPr/>
          <w:tcPr>
            <w:tcW w:w="3130" w:type="dxa"/>
          </w:tcPr>
          <w:p>
            <w:pPr>
              <w:pStyle w:val="Compact"/>
            </w:pPr>
            <w:r>
              <w:t xml:space="preserve">Задержки публикации 2-5 недель</w:t>
            </w:r>
          </w:p>
        </w:tc>
      </w:tr>
      <w:tr>
        <w:tc>
          <w:tcPr>
            <w:tcW w:w="3339" w:type="dxa"/>
          </w:tcPr>
          <w:tcPr/>
          <w:tcPr>
            <w:tcW w:w="33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Ручное ценообразование чартеров</w:t>
            </w:r>
          </w:p>
        </w:tc>
        <w:tc>
          <w:tcPr>
            <w:tcW w:w="3130" w:type="dxa"/>
          </w:tcPr>
          <w:tcPr/>
          <w:tcPr>
            <w:tcW w:w="3130" w:type="dxa"/>
          </w:tcPr>
          <w:p>
            <w:pPr>
              <w:pStyle w:val="Compact"/>
            </w:pPr>
            <w:r>
              <w:t xml:space="preserve">Нет автоматизации</w:t>
            </w:r>
          </w:p>
        </w:tc>
        <w:tc>
          <w:tcPr>
            <w:tcW w:w="3130" w:type="dxa"/>
          </w:tcPr>
          <w:tcPr/>
          <w:tcPr>
            <w:tcW w:w="3130" w:type="dxa"/>
          </w:tcPr>
          <w:p>
            <w:pPr>
              <w:pStyle w:val="Compact"/>
            </w:pPr>
            <w:r>
              <w:t xml:space="preserve">Потеря маржи, горение мест</w:t>
            </w:r>
          </w:p>
        </w:tc>
      </w:tr>
    </w:tbl>
    <w:bookmarkEnd w:id="20"/>
    <w:bookmarkStart w:id="21" w:name="высокие"/>
    <w:p>
      <w:pPr>
        <w:pStyle w:val="Heading3"/>
      </w:pPr>
      <w:r>
        <w:t xml:space="preserve">Высокие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022"/>
        <w:gridCol w:w="3382"/>
        <w:gridCol w:w="2194"/>
      </w:tblGrid>
      <w:tr>
        <w:trPr>
          <w:tblHeader w:val="on"/>
        </w:trPr>
        <w:tc>
          <w:tcPr>
            <w:tcW w:w="402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02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38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38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219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9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4022" w:type="dxa"/>
          </w:tcPr>
          <w:tcPr/>
          <w:tcPr>
            <w:tcW w:w="4022" w:type="dxa"/>
          </w:tcPr>
          <w:p>
            <w:pPr>
              <w:pStyle w:val="Compact"/>
            </w:pPr>
            <w:r>
              <w:t xml:space="preserve">Длительный сбор информации</w:t>
            </w:r>
          </w:p>
        </w:tc>
        <w:tc>
          <w:tcPr>
            <w:tcW w:w="3382" w:type="dxa"/>
          </w:tcPr>
          <w:tcPr/>
          <w:tcPr>
            <w:tcW w:w="3382" w:type="dxa"/>
          </w:tcPr>
          <w:p>
            <w:pPr>
              <w:pStyle w:val="Compact"/>
            </w:pPr>
            <w:r>
              <w:t xml:space="preserve">Несистематизированные данные регионов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Затягивание планирования</w:t>
            </w:r>
          </w:p>
        </w:tc>
      </w:tr>
      <w:tr>
        <w:tc>
          <w:tcPr>
            <w:tcW w:w="4022" w:type="dxa"/>
          </w:tcPr>
          <w:tcPr/>
          <w:tcPr>
            <w:tcW w:w="4022" w:type="dxa"/>
          </w:tcPr>
          <w:p>
            <w:pPr>
              <w:pStyle w:val="Compact"/>
            </w:pPr>
            <w:r>
              <w:t xml:space="preserve">Троение гостиниц от динамических поставщиков</w:t>
            </w:r>
          </w:p>
        </w:tc>
        <w:tc>
          <w:tcPr>
            <w:tcW w:w="3382" w:type="dxa"/>
          </w:tcPr>
          <w:tcPr/>
          <w:tcPr>
            <w:tcW w:w="3382" w:type="dxa"/>
          </w:tcPr>
          <w:p>
            <w:pPr>
              <w:pStyle w:val="Compact"/>
            </w:pPr>
            <w:r>
              <w:t xml:space="preserve">Нет автоматического сопоставления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Ручная обработка</w:t>
            </w:r>
          </w:p>
        </w:tc>
      </w:tr>
      <w:tr>
        <w:tc>
          <w:tcPr>
            <w:tcW w:w="4022" w:type="dxa"/>
          </w:tcPr>
          <w:tcPr/>
          <w:tcPr>
            <w:tcW w:w="4022" w:type="dxa"/>
          </w:tcPr>
          <w:p>
            <w:pPr>
              <w:pStyle w:val="Compact"/>
            </w:pPr>
            <w:r>
              <w:t xml:space="preserve">Отсутствие учёта обращений</w:t>
            </w:r>
          </w:p>
        </w:tc>
        <w:tc>
          <w:tcPr>
            <w:tcW w:w="3382" w:type="dxa"/>
          </w:tcPr>
          <w:tcPr/>
          <w:tcPr>
            <w:tcW w:w="3382" w:type="dxa"/>
          </w:tcPr>
          <w:p>
            <w:pPr>
              <w:pStyle w:val="Compact"/>
            </w:pPr>
            <w:r>
              <w:t xml:space="preserve">Обращения по почте, не в CRM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Нет данных о нагрузке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точки-автоматизации"/>
    <w:p>
      <w:pPr>
        <w:pStyle w:val="Heading2"/>
      </w:pPr>
      <w:r>
        <w:t xml:space="preserve">8. Точки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3"/>
        <w:gridCol w:w="2174"/>
        <w:gridCol w:w="3820"/>
        <w:gridCol w:w="2056"/>
        <w:gridCol w:w="773"/>
      </w:tblGrid>
      <w:tr>
        <w:trPr>
          <w:tblHeader w:val="on"/>
        </w:trPr>
        <w:tc>
          <w:tcPr>
            <w:tcW w:w="77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7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17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7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382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2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05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05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>
            <w:tcW w:w="77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7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AUTO-PROD-01</w:t>
            </w:r>
          </w:p>
        </w:tc>
        <w:tc>
          <w:tcPr>
            <w:tcW w:w="2174" w:type="dxa"/>
          </w:tcPr>
          <w:tcPr/>
          <w:tcPr>
            <w:tcW w:w="2174" w:type="dxa"/>
          </w:tcPr>
          <w:p>
            <w:pPr>
              <w:pStyle w:val="Compact"/>
            </w:pPr>
            <w:r>
              <w:t xml:space="preserve">Динамическое ценообразование чартеров</w:t>
            </w:r>
          </w:p>
        </w:tc>
        <w:tc>
          <w:tcPr>
            <w:tcW w:w="3820" w:type="dxa"/>
          </w:tcPr>
          <w:tcPr/>
          <w:tcPr>
            <w:tcW w:w="3820" w:type="dxa"/>
          </w:tcPr>
          <w:p>
            <w:pPr>
              <w:pStyle w:val="Compact"/>
            </w:pPr>
            <w:r>
              <w:t xml:space="preserve">Автоматическая корректировка цен на основе загрузки и конкурентов</w:t>
            </w:r>
          </w:p>
        </w:tc>
        <w:tc>
          <w:tcPr>
            <w:tcW w:w="2056" w:type="dxa"/>
          </w:tcPr>
          <w:tcPr/>
          <w:tcPr>
            <w:tcW w:w="2056" w:type="dxa"/>
          </w:tcPr>
          <w:p>
            <w:pPr>
              <w:pStyle w:val="Compact"/>
            </w:pPr>
            <w:r>
              <w:t xml:space="preserve">Снижение горения на 30%, рост маржи</w:t>
            </w:r>
          </w:p>
        </w:tc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AUTO-PROD-02</w:t>
            </w:r>
          </w:p>
        </w:tc>
        <w:tc>
          <w:tcPr>
            <w:tcW w:w="2174" w:type="dxa"/>
          </w:tcPr>
          <w:tcPr/>
          <w:tcPr>
            <w:tcW w:w="2174" w:type="dxa"/>
          </w:tcPr>
          <w:p>
            <w:pPr>
              <w:pStyle w:val="Compact"/>
            </w:pPr>
            <w:r>
              <w:t xml:space="preserve">Автоматическая ревизия туров</w:t>
            </w:r>
          </w:p>
        </w:tc>
        <w:tc>
          <w:tcPr>
            <w:tcW w:w="3820" w:type="dxa"/>
          </w:tcPr>
          <w:tcPr/>
          <w:tcPr>
            <w:tcW w:w="3820" w:type="dxa"/>
          </w:tcPr>
          <w:p>
            <w:pPr>
              <w:pStyle w:val="Compact"/>
            </w:pPr>
            <w:r>
              <w:t xml:space="preserve">Удаление туров без конверсии за период</w:t>
            </w:r>
          </w:p>
        </w:tc>
        <w:tc>
          <w:tcPr>
            <w:tcW w:w="2056" w:type="dxa"/>
          </w:tcPr>
          <w:tcPr/>
          <w:tcPr>
            <w:tcW w:w="2056" w:type="dxa"/>
          </w:tcPr>
          <w:p>
            <w:pPr>
              <w:pStyle w:val="Compact"/>
            </w:pPr>
            <w:r>
              <w:t xml:space="preserve">-50% ручной работы, чистый каталог</w:t>
            </w:r>
          </w:p>
        </w:tc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AUTO-PROD-03</w:t>
            </w:r>
          </w:p>
        </w:tc>
        <w:tc>
          <w:tcPr>
            <w:tcW w:w="2174" w:type="dxa"/>
          </w:tcPr>
          <w:tcPr/>
          <w:tcPr>
            <w:tcW w:w="2174" w:type="dxa"/>
          </w:tcPr>
          <w:p>
            <w:pPr>
              <w:pStyle w:val="Compact"/>
            </w:pPr>
            <w:r>
              <w:t xml:space="preserve">Сопоставление гостиниц</w:t>
            </w:r>
          </w:p>
        </w:tc>
        <w:tc>
          <w:tcPr>
            <w:tcW w:w="3820" w:type="dxa"/>
          </w:tcPr>
          <w:tcPr/>
          <w:tcPr>
            <w:tcW w:w="3820" w:type="dxa"/>
          </w:tcPr>
          <w:p>
            <w:pPr>
              <w:pStyle w:val="Compact"/>
            </w:pPr>
            <w:r>
              <w:t xml:space="preserve">Автоматический матчинг отелей от разных поставщиков</w:t>
            </w:r>
          </w:p>
        </w:tc>
        <w:tc>
          <w:tcPr>
            <w:tcW w:w="2056" w:type="dxa"/>
          </w:tcPr>
          <w:tcPr/>
          <w:tcPr>
            <w:tcW w:w="2056" w:type="dxa"/>
          </w:tcPr>
          <w:p>
            <w:pPr>
              <w:pStyle w:val="Compact"/>
            </w:pPr>
            <w:r>
              <w:t xml:space="preserve">Устранение дубликатов</w:t>
            </w:r>
          </w:p>
        </w:tc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AUTO-PROD-04</w:t>
            </w:r>
          </w:p>
        </w:tc>
        <w:tc>
          <w:tcPr>
            <w:tcW w:w="2174" w:type="dxa"/>
          </w:tcPr>
          <w:tcPr/>
          <w:tcPr>
            <w:tcW w:w="2174" w:type="dxa"/>
          </w:tcPr>
          <w:p>
            <w:pPr>
              <w:pStyle w:val="Compact"/>
            </w:pPr>
            <w:r>
              <w:t xml:space="preserve">Мониторинг сроков цен</w:t>
            </w:r>
          </w:p>
        </w:tc>
        <w:tc>
          <w:tcPr>
            <w:tcW w:w="3820" w:type="dxa"/>
          </w:tcPr>
          <w:tcPr/>
          <w:tcPr>
            <w:tcW w:w="3820" w:type="dxa"/>
          </w:tcPr>
          <w:p>
            <w:pPr>
              <w:pStyle w:val="Compact"/>
            </w:pPr>
            <w:r>
              <w:t xml:space="preserve">Автоуведомления о необходимости пролонгации</w:t>
            </w:r>
          </w:p>
        </w:tc>
        <w:tc>
          <w:tcPr>
            <w:tcW w:w="2056" w:type="dxa"/>
          </w:tcPr>
          <w:tcPr/>
          <w:tcPr>
            <w:tcW w:w="2056" w:type="dxa"/>
          </w:tcPr>
          <w:p>
            <w:pPr>
              <w:pStyle w:val="Compact"/>
            </w:pPr>
            <w:r>
              <w:t xml:space="preserve">Предотвращение пустых сезонов</w:t>
            </w:r>
          </w:p>
        </w:tc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AUTO-PROD-05</w:t>
            </w:r>
          </w:p>
        </w:tc>
        <w:tc>
          <w:tcPr>
            <w:tcW w:w="2174" w:type="dxa"/>
          </w:tcPr>
          <w:tcPr/>
          <w:tcPr>
            <w:tcW w:w="2174" w:type="dxa"/>
          </w:tcPr>
          <w:p>
            <w:pPr>
              <w:pStyle w:val="Compact"/>
            </w:pPr>
            <w:r>
              <w:t xml:space="preserve">Парсинг обращений из почты</w:t>
            </w:r>
          </w:p>
        </w:tc>
        <w:tc>
          <w:tcPr>
            <w:tcW w:w="3820" w:type="dxa"/>
          </w:tcPr>
          <w:tcPr/>
          <w:tcPr>
            <w:tcW w:w="3820" w:type="dxa"/>
          </w:tcPr>
          <w:p>
            <w:pPr>
              <w:pStyle w:val="Compact"/>
            </w:pPr>
            <w:r>
              <w:t xml:space="preserve">Автоматическое создание задач в Битрикс</w:t>
            </w:r>
          </w:p>
        </w:tc>
        <w:tc>
          <w:tcPr>
            <w:tcW w:w="2056" w:type="dxa"/>
          </w:tcPr>
          <w:tcPr/>
          <w:tcPr>
            <w:tcW w:w="2056" w:type="dxa"/>
          </w:tcPr>
          <w:p>
            <w:pPr>
              <w:pStyle w:val="Compact"/>
            </w:pPr>
            <w:r>
              <w:t xml:space="preserve">Учёт нагрузки, метрики</w:t>
            </w:r>
          </w:p>
        </w:tc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AUTO-PROD-06</w:t>
            </w:r>
          </w:p>
        </w:tc>
        <w:tc>
          <w:tcPr>
            <w:tcW w:w="2174" w:type="dxa"/>
          </w:tcPr>
          <w:tcPr/>
          <w:tcPr>
            <w:tcW w:w="2174" w:type="dxa"/>
          </w:tcPr>
          <w:p>
            <w:pPr>
              <w:pStyle w:val="Compact"/>
            </w:pPr>
            <w:r>
              <w:t xml:space="preserve">Парсинг конкурентов</w:t>
            </w:r>
          </w:p>
        </w:tc>
        <w:tc>
          <w:tcPr>
            <w:tcW w:w="3820" w:type="dxa"/>
          </w:tcPr>
          <w:tcPr/>
          <w:tcPr>
            <w:tcW w:w="3820" w:type="dxa"/>
          </w:tcPr>
          <w:p>
            <w:pPr>
              <w:pStyle w:val="Compact"/>
            </w:pPr>
            <w:r>
              <w:t xml:space="preserve">Расширение автоматического анализа</w:t>
            </w:r>
          </w:p>
        </w:tc>
        <w:tc>
          <w:tcPr>
            <w:tcW w:w="2056" w:type="dxa"/>
          </w:tcPr>
          <w:tcPr/>
          <w:tcPr>
            <w:tcW w:w="2056" w:type="dxa"/>
          </w:tcPr>
          <w:p>
            <w:pPr>
              <w:pStyle w:val="Compact"/>
            </w:pPr>
            <w:r>
              <w:t xml:space="preserve">Быстрая реакция на рынок</w:t>
            </w:r>
          </w:p>
        </w:tc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AUTO-PROD-07</w:t>
            </w:r>
          </w:p>
        </w:tc>
        <w:tc>
          <w:tcPr>
            <w:tcW w:w="2174" w:type="dxa"/>
          </w:tcPr>
          <w:tcPr/>
          <w:tcPr>
            <w:tcW w:w="2174" w:type="dxa"/>
          </w:tcPr>
          <w:p>
            <w:pPr>
              <w:pStyle w:val="Compact"/>
            </w:pPr>
            <w:r>
              <w:t xml:space="preserve">Проверка ошибок роботом</w:t>
            </w:r>
          </w:p>
        </w:tc>
        <w:tc>
          <w:tcPr>
            <w:tcW w:w="3820" w:type="dxa"/>
          </w:tcPr>
          <w:tcPr/>
          <w:tcPr>
            <w:tcW w:w="3820" w:type="dxa"/>
          </w:tcPr>
          <w:p>
            <w:pPr>
              <w:pStyle w:val="Compact"/>
            </w:pPr>
            <w:r>
              <w:t xml:space="preserve">Автоматический контроль расчётов</w:t>
            </w:r>
          </w:p>
        </w:tc>
        <w:tc>
          <w:tcPr>
            <w:tcW w:w="2056" w:type="dxa"/>
          </w:tcPr>
          <w:tcPr/>
          <w:tcPr>
            <w:tcW w:w="2056" w:type="dxa"/>
          </w:tcPr>
          <w:p>
            <w:pPr>
              <w:pStyle w:val="Compact"/>
            </w:pPr>
            <w:r>
              <w:t xml:space="preserve">Снижение ошибок на 50%</w:t>
            </w:r>
          </w:p>
        </w:tc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взаимодействие-с-другими-процессами"/>
    <w:p>
      <w:pPr>
        <w:pStyle w:val="Heading2"/>
      </w:pPr>
      <w:r>
        <w:t xml:space="preserve">9. Взаимодействие с другими процессами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65"/>
        <w:gridCol w:w="5590"/>
        <w:gridCol w:w="1944"/>
      </w:tblGrid>
      <w:tr>
        <w:trPr>
          <w:tblHeader w:val="on"/>
        </w:trPr>
        <w:tc>
          <w:tcPr>
            <w:tcW w:w="206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06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Процесс</w:t>
            </w:r>
          </w:p>
        </w:tc>
        <w:tc>
          <w:tcPr>
            <w:tcW w:w="559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559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Тип взаимодействия</w:t>
            </w:r>
          </w:p>
        </w:tc>
        <w:tc>
          <w:tcPr>
            <w:tcW w:w="194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4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 передачи</w:t>
            </w:r>
          </w:p>
        </w:tc>
      </w:tr>
      <w:tr>
        <w:tc>
          <w:tcPr>
            <w:tcW w:w="2065" w:type="dxa"/>
          </w:tcPr>
          <w:tcPr/>
          <w:tcPr>
            <w:tcW w:w="20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>
            <w:tcW w:w="5590" w:type="dxa"/>
          </w:tcPr>
          <w:tcPr/>
          <w:tcPr>
            <w:tcW w:w="5590" w:type="dxa"/>
          </w:tcPr>
          <w:p>
            <w:pPr>
              <w:pStyle w:val="Compact"/>
            </w:pPr>
            <w:r>
              <w:t xml:space="preserve">Опубликованный продукт используется для продаж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САМО-тур → Сайт</w:t>
            </w:r>
          </w:p>
        </w:tc>
      </w:tr>
      <w:tr>
        <w:tc>
          <w:tcPr>
            <w:tcW w:w="2065" w:type="dxa"/>
          </w:tcPr>
          <w:tcPr/>
          <w:tcPr>
            <w:tcW w:w="20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BP-02 (Маркетинг)</w:t>
            </w:r>
          </w:p>
        </w:tc>
        <w:tc>
          <w:tcPr>
            <w:tcW w:w="5590" w:type="dxa"/>
          </w:tcPr>
          <w:tcPr/>
          <w:tcPr>
            <w:tcW w:w="5590" w:type="dxa"/>
          </w:tcPr>
          <w:p>
            <w:pPr>
              <w:pStyle w:val="Compact"/>
            </w:pPr>
            <w:r>
              <w:t xml:space="preserve">Новые продукты требуют продвижения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Задача в Битрикс</w:t>
            </w:r>
          </w:p>
        </w:tc>
      </w:tr>
      <w:tr>
        <w:tc>
          <w:tcPr>
            <w:tcW w:w="2065" w:type="dxa"/>
          </w:tcPr>
          <w:tcPr/>
          <w:tcPr>
            <w:tcW w:w="20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BP-04 (Финансы)</w:t>
            </w:r>
          </w:p>
        </w:tc>
        <w:tc>
          <w:tcPr>
            <w:tcW w:w="5590" w:type="dxa"/>
          </w:tcPr>
          <w:tcPr/>
          <w:tcPr>
            <w:tcW w:w="5590" w:type="dxa"/>
          </w:tcPr>
          <w:p>
            <w:pPr>
              <w:pStyle w:val="Compact"/>
            </w:pPr>
            <w:r>
              <w:t xml:space="preserve">Данные о прибыли по направлениям для анализа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Запрос в Финансы</w:t>
            </w:r>
          </w:p>
        </w:tc>
      </w:tr>
      <w:tr>
        <w:tc>
          <w:tcPr>
            <w:tcW w:w="2065" w:type="dxa"/>
          </w:tcPr>
          <w:tcPr/>
          <w:tcPr>
            <w:tcW w:w="20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BP-06 (Поддержка)</w:t>
            </w:r>
          </w:p>
        </w:tc>
        <w:tc>
          <w:tcPr>
            <w:tcW w:w="5590" w:type="dxa"/>
          </w:tcPr>
          <w:tcPr/>
          <w:tcPr>
            <w:tcW w:w="5590" w:type="dxa"/>
          </w:tcPr>
          <w:p>
            <w:pPr>
              <w:pStyle w:val="Compact"/>
            </w:pPr>
            <w:r>
              <w:t xml:space="preserve">Ошибки на сайте поступают через поддержку</w:t>
            </w:r>
          </w:p>
        </w:tc>
        <w:tc>
          <w:tcPr>
            <w:tcW w:w="1944" w:type="dxa"/>
          </w:tcPr>
          <w:tcPr/>
          <w:tcPr>
            <w:tcW w:w="1944" w:type="dxa"/>
          </w:tcPr>
          <w:p>
            <w:pPr>
              <w:pStyle w:val="Compact"/>
            </w:pPr>
            <w:r>
              <w:t xml:space="preserve">Задача/почта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рекомендации"/>
    <w:p>
      <w:pPr>
        <w:pStyle w:val="Heading2"/>
      </w:pPr>
      <w:r>
        <w:t xml:space="preserve">10. Рекомендации</w:t>
      </w:r>
    </w:p>
    <w:bookmarkStart w:id="25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Внедрить динамическое ценообразование чартеров</w:t>
      </w:r>
      <w:r>
        <w:t xml:space="preserve"> </w:t>
      </w:r>
      <w:r>
        <w:t xml:space="preserve">— критично для снижения убытков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Автоматизировать мониторинг сроков действия цен</w:t>
      </w:r>
      <w:r>
        <w:t xml:space="preserve"> </w:t>
      </w:r>
      <w:r>
        <w:t xml:space="preserve">— предотвращение пустых сезонов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Настроить парсинг обращений из почты</w:t>
      </w:r>
      <w:r>
        <w:t xml:space="preserve"> </w:t>
      </w:r>
      <w:r>
        <w:t xml:space="preserve">— получить метрики по нагрузке</w:t>
      </w:r>
    </w:p>
    <w:bookmarkEnd w:id="25"/>
    <w:bookmarkStart w:id="26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4"/>
        </w:numPr>
      </w:pPr>
      <w:r>
        <w:t xml:space="preserve">Автоматическое сопоставление гостиниц от разных поставщиков</w:t>
      </w:r>
    </w:p>
    <w:p>
      <w:pPr>
        <w:pStyle w:val="Compact"/>
        <w:numPr>
          <w:ilvl w:val="0"/>
          <w:numId w:val="1004"/>
        </w:numPr>
      </w:pPr>
      <w:r>
        <w:t xml:space="preserve">Робот для проверки ошибок в расчётах</w:t>
      </w:r>
    </w:p>
    <w:p>
      <w:pPr>
        <w:pStyle w:val="Compact"/>
        <w:numPr>
          <w:ilvl w:val="0"/>
          <w:numId w:val="1004"/>
        </w:numPr>
      </w:pPr>
      <w:r>
        <w:t xml:space="preserve">Автоматическая ревизия туров без конверсии</w:t>
      </w:r>
    </w:p>
    <w:bookmarkEnd w:id="26"/>
    <w:bookmarkStart w:id="27" w:name="долгосрочные"/>
    <w:p>
      <w:pPr>
        <w:pStyle w:val="Heading3"/>
      </w:pPr>
      <w:r>
        <w:t xml:space="preserve">Долгосрочные</w:t>
      </w:r>
    </w:p>
    <w:p>
      <w:pPr>
        <w:pStyle w:val="Compact"/>
        <w:numPr>
          <w:ilvl w:val="0"/>
          <w:numId w:val="1005"/>
        </w:numPr>
      </w:pPr>
      <w:r>
        <w:t xml:space="preserve">Единая система управления продуктом с интеграцией всех поставщиков</w:t>
      </w:r>
    </w:p>
    <w:p>
      <w:pPr>
        <w:pStyle w:val="Compact"/>
        <w:numPr>
          <w:ilvl w:val="0"/>
          <w:numId w:val="1005"/>
        </w:numPr>
      </w:pPr>
      <w:r>
        <w:t xml:space="preserve">Предиктивная аналитика спроса для планирования продукта</w:t>
      </w:r>
    </w:p>
    <w:p>
      <w:pPr>
        <w:pStyle w:val="Compact"/>
        <w:numPr>
          <w:ilvl w:val="0"/>
          <w:numId w:val="1005"/>
        </w:numPr>
      </w:pPr>
      <w:r>
        <w:t xml:space="preserve">Автоматическое формирование продуктового плана на основе данных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2026-02-28T17:40:53Z</dcterms:created>
  <dcterms:modified xsi:type="dcterms:W3CDTF">2026-02-28T17:40:53Z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