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тз-16-сквозная-аналитика-roistat"/>
    <w:p>
      <w:pPr>
        <w:pStyle w:val="Heading1"/>
      </w:pPr>
      <w:r>
        <w:t xml:space="preserve">ТЗ-16: Сквозная аналитика RoiStat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722"/>
        <w:gridCol w:w="5877"/>
      </w:tblGrid>
      <w:tr>
        <w:trPr>
          <w:tblHeader w:val="on"/>
        </w:trPr>
        <w:tc>
          <w:tcPr>
            <w:tcW w:w="3722" w:type="dxa"/>
            <w:shd w:val="clear" w:color="auto" w:fill="D9E2F3"/>
          </w:tcPr>
          <w:tcPr/>
          <w:tcPr>
            <w:tcW w:w="3722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5877" w:type="dxa"/>
            <w:shd w:val="clear" w:color="auto" w:fill="D9E2F3"/>
          </w:tcPr>
          <w:tcPr/>
          <w:tcPr>
            <w:tcW w:w="587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TZ-16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AUTO-012, DASH-06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Волна 4 — Развитие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Лицензия RoiStat, доступ к API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Маркетинг (вакансия)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33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проблема-as-is"/>
    <w:p>
      <w:pPr>
        <w:pStyle w:val="Heading2"/>
      </w:pPr>
      <w:r>
        <w:t xml:space="preserve">2. Проблема (AS-IS)</w:t>
      </w:r>
    </w:p>
    <w:bookmarkStart w:id="10" w:name="текущее-состояние"/>
    <w:p>
      <w:pPr>
        <w:pStyle w:val="Heading3"/>
      </w:pPr>
      <w:r>
        <w:t xml:space="preserve">2.1. Текущее состояние</w:t>
      </w:r>
    </w:p>
    <w:p>
      <w:pPr>
        <w:pStyle w:val="FirstParagraph"/>
      </w:pPr>
      <w:r>
        <w:rPr>
          <w:b/>
          <w:bCs/>
        </w:rPr>
        <w:t xml:space="preserve">AUTO-012: Интеграция RoiStat с CRM и рекламными системами</w:t>
      </w:r>
      <w:r>
        <w:t xml:space="preserve"> </w:t>
      </w:r>
      <w:r>
        <w:t xml:space="preserve">- RoiStat внедрён частично, данные неполные</w:t>
      </w:r>
      <w:r>
        <w:t xml:space="preserve"> </w:t>
      </w:r>
      <w:r>
        <w:t xml:space="preserve">- Время на ручной сбор данных: 20 ч/мес</w:t>
      </w:r>
      <w:r>
        <w:t xml:space="preserve"> </w:t>
      </w:r>
      <w:r>
        <w:t xml:space="preserve">- Нет связи с финальными продажами (только лиды)</w:t>
      </w:r>
    </w:p>
    <w:p>
      <w:pPr>
        <w:pStyle w:val="BodyText"/>
      </w:pPr>
      <w:r>
        <w:rPr>
          <w:b/>
          <w:bCs/>
        </w:rPr>
        <w:t xml:space="preserve">DASH-06: Дашборд маркетинговой аналитики</w:t>
      </w:r>
      <w:r>
        <w:t xml:space="preserve"> </w:t>
      </w:r>
      <w:r>
        <w:t xml:space="preserve">- Отчёты собираются вручную из разных источников</w:t>
      </w:r>
      <w:r>
        <w:t xml:space="preserve"> </w:t>
      </w:r>
      <w:r>
        <w:t xml:space="preserve">- Время на формирование отчётов: 13 ч/мес</w:t>
      </w:r>
      <w:r>
        <w:t xml:space="preserve"> </w:t>
      </w:r>
      <w:r>
        <w:t xml:space="preserve">- Данные устаревают к моменту принятия решений</w:t>
      </w:r>
    </w:p>
    <w:bookmarkEnd w:id="10"/>
    <w:bookmarkStart w:id="11" w:name="боли-пользователей"/>
    <w:p>
      <w:pPr>
        <w:pStyle w:val="Heading3"/>
      </w:pPr>
      <w:r>
        <w:t xml:space="preserve">2.2. Боли пользователей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Маркетинг:</w:t>
      </w:r>
      <w:r>
        <w:t xml:space="preserve"> </w:t>
      </w:r>
      <w:r>
        <w:t xml:space="preserve">Невозможно оценить реальный ROI рекламных кампаний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Руководство:</w:t>
      </w:r>
      <w:r>
        <w:t xml:space="preserve"> </w:t>
      </w:r>
      <w:r>
        <w:t xml:space="preserve">Решения принимаются на основе неполных данных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Финансы:</w:t>
      </w:r>
      <w:r>
        <w:t xml:space="preserve"> </w:t>
      </w:r>
      <w:r>
        <w:t xml:space="preserve">Нет связи маркетинговых затрат с реальной выручкой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цель-to-be"/>
    <w:p>
      <w:pPr>
        <w:pStyle w:val="Heading2"/>
      </w:pPr>
      <w:r>
        <w:t xml:space="preserve">3. Цель (TO-BE)</w:t>
      </w:r>
    </w:p>
    <w:bookmarkStart w:id="13" w:name="целевое-состояние"/>
    <w:p>
      <w:pPr>
        <w:pStyle w:val="Heading3"/>
      </w:pPr>
      <w:r>
        <w:t xml:space="preserve">3.1. Целевое состояние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Полная интеграция RoiStat</w:t>
      </w:r>
      <w:r>
        <w:t xml:space="preserve"> </w:t>
      </w:r>
      <w:r>
        <w:t xml:space="preserve">— данные от клика до оплаты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Автоматические отчёты</w:t>
      </w:r>
      <w:r>
        <w:t xml:space="preserve"> </w:t>
      </w:r>
      <w:r>
        <w:t xml:space="preserve">— ежедневные/еженедельные дашборды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ROI по каналам</w:t>
      </w:r>
      <w:r>
        <w:t xml:space="preserve"> </w:t>
      </w:r>
      <w:r>
        <w:t xml:space="preserve">— реальная окупаемость каждого источника трафика</w:t>
      </w:r>
    </w:p>
    <w:bookmarkEnd w:id="13"/>
    <w:bookmarkStart w:id="14" w:name="ожидаемые-результаты"/>
    <w:p>
      <w:pPr>
        <w:pStyle w:val="Heading3"/>
      </w:pPr>
      <w:r>
        <w:t xml:space="preserve">3.2. Ожидаемые результаты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363"/>
        <w:gridCol w:w="1745"/>
        <w:gridCol w:w="1527"/>
        <w:gridCol w:w="1963"/>
      </w:tblGrid>
      <w:tr>
        <w:trPr>
          <w:tblHeader w:val="on"/>
        </w:trPr>
        <w:tc>
          <w:tcPr>
            <w:tcW w:w="4363" w:type="dxa"/>
            <w:shd w:val="clear" w:color="auto" w:fill="D9E2F3"/>
          </w:tcPr>
          <w:tcPr/>
          <w:tcPr>
            <w:tcW w:w="4363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745" w:type="dxa"/>
            <w:shd w:val="clear" w:color="auto" w:fill="D9E2F3"/>
          </w:tcPr>
          <w:tcPr/>
          <w:tcPr>
            <w:tcW w:w="1745" w:type="dxa"/>
            <w:shd w:val="clear" w:color="auto" w:fill="D9E2F3"/>
          </w:tcPr>
          <w:p>
            <w:pPr>
              <w:pStyle w:val="Compact"/>
            </w:pPr>
            <w:r>
              <w:t xml:space="preserve">AS-IS</w:t>
            </w:r>
          </w:p>
        </w:tc>
        <w:tc>
          <w:tcPr>
            <w:tcW w:w="1527" w:type="dxa"/>
            <w:shd w:val="clear" w:color="auto" w:fill="D9E2F3"/>
          </w:tcPr>
          <w:tcPr/>
          <w:tcPr>
            <w:tcW w:w="1527" w:type="dxa"/>
            <w:shd w:val="clear" w:color="auto" w:fill="D9E2F3"/>
          </w:tcPr>
          <w:p>
            <w:pPr>
              <w:pStyle w:val="Compact"/>
            </w:pPr>
            <w:r>
              <w:t xml:space="preserve">TO-BE</w:t>
            </w:r>
          </w:p>
        </w:tc>
        <w:tc>
          <w:tcPr>
            <w:tcW w:w="1963" w:type="dxa"/>
            <w:shd w:val="clear" w:color="auto" w:fill="D9E2F3"/>
          </w:tcPr>
          <w:tcPr/>
          <w:tcPr>
            <w:tcW w:w="1963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4363" w:type="dxa"/>
          </w:tcPr>
          <w:tcPr/>
          <w:tcPr>
            <w:tcW w:w="4363" w:type="dxa"/>
          </w:tcPr>
          <w:p>
            <w:pPr>
              <w:pStyle w:val="Compact"/>
            </w:pPr>
            <w:r>
              <w:t xml:space="preserve">Ручной сбор данных</w:t>
            </w:r>
          </w:p>
        </w:tc>
        <w:tc>
          <w:tcPr>
            <w:tcW w:w="1745" w:type="dxa"/>
          </w:tcPr>
          <w:tcPr/>
          <w:tcPr>
            <w:tcW w:w="1745" w:type="dxa"/>
          </w:tcPr>
          <w:p>
            <w:pPr>
              <w:pStyle w:val="Compact"/>
            </w:pPr>
            <w:r>
              <w:t xml:space="preserve">20 ч/мес</w:t>
            </w:r>
          </w:p>
        </w:tc>
        <w:tc>
          <w:tcPr>
            <w:tcW w:w="1527" w:type="dxa"/>
          </w:tcPr>
          <w:tcPr/>
          <w:tcPr>
            <w:tcW w:w="1527" w:type="dxa"/>
          </w:tcPr>
          <w:p>
            <w:pPr>
              <w:pStyle w:val="Compact"/>
            </w:pPr>
            <w:r>
              <w:t xml:space="preserve">3 ч/мес</w:t>
            </w:r>
          </w:p>
        </w:tc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t xml:space="preserve">-85%</w:t>
            </w:r>
          </w:p>
        </w:tc>
      </w:tr>
      <w:tr>
        <w:tc>
          <w:tcPr>
            <w:tcW w:w="4363" w:type="dxa"/>
          </w:tcPr>
          <w:tcPr/>
          <w:tcPr>
            <w:tcW w:w="4363" w:type="dxa"/>
          </w:tcPr>
          <w:p>
            <w:pPr>
              <w:pStyle w:val="Compact"/>
            </w:pPr>
            <w:r>
              <w:t xml:space="preserve">Формирование отчётов</w:t>
            </w:r>
          </w:p>
        </w:tc>
        <w:tc>
          <w:tcPr>
            <w:tcW w:w="1745" w:type="dxa"/>
          </w:tcPr>
          <w:tcPr/>
          <w:tcPr>
            <w:tcW w:w="1745" w:type="dxa"/>
          </w:tcPr>
          <w:p>
            <w:pPr>
              <w:pStyle w:val="Compact"/>
            </w:pPr>
            <w:r>
              <w:t xml:space="preserve">13 ч/мес</w:t>
            </w:r>
          </w:p>
        </w:tc>
        <w:tc>
          <w:tcPr>
            <w:tcW w:w="1527" w:type="dxa"/>
          </w:tcPr>
          <w:tcPr/>
          <w:tcPr>
            <w:tcW w:w="1527" w:type="dxa"/>
          </w:tcPr>
          <w:p>
            <w:pPr>
              <w:pStyle w:val="Compact"/>
            </w:pPr>
            <w:r>
              <w:t xml:space="preserve">2 ч/мес</w:t>
            </w:r>
          </w:p>
        </w:tc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t xml:space="preserve">-85%</w:t>
            </w:r>
          </w:p>
        </w:tc>
      </w:tr>
      <w:tr>
        <w:tc>
          <w:tcPr>
            <w:tcW w:w="4363" w:type="dxa"/>
          </w:tcPr>
          <w:tcPr/>
          <w:tcPr>
            <w:tcW w:w="43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745" w:type="dxa"/>
          </w:tcPr>
          <w:tcPr/>
          <w:tcPr>
            <w:tcW w:w="174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33 ч/мес</w:t>
            </w:r>
          </w:p>
        </w:tc>
        <w:tc>
          <w:tcPr>
            <w:tcW w:w="1527" w:type="dxa"/>
          </w:tcPr>
          <w:tcPr/>
          <w:tcPr>
            <w:tcW w:w="152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5 ч/мес</w:t>
            </w:r>
          </w:p>
        </w:tc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-85%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объём-работ"/>
    <w:p>
      <w:pPr>
        <w:pStyle w:val="Heading2"/>
      </w:pPr>
      <w:r>
        <w:t xml:space="preserve">4. Объём работ</w:t>
      </w:r>
    </w:p>
    <w:bookmarkStart w:id="16" w:name="включено-в-тз"/>
    <w:p>
      <w:pPr>
        <w:pStyle w:val="Heading3"/>
      </w:pPr>
      <w:r>
        <w:t xml:space="preserve">4.1. Включено в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8"/>
        <w:gridCol w:w="3740"/>
        <w:gridCol w:w="5111"/>
      </w:tblGrid>
      <w:tr>
        <w:trPr>
          <w:tblHeader w:val="on"/>
        </w:trPr>
        <w:tc>
          <w:tcPr>
            <w:tcW w:w="748" w:type="dxa"/>
            <w:shd w:val="clear" w:color="auto" w:fill="D9E2F3"/>
          </w:tcPr>
          <w:tcPr/>
          <w:tcPr>
            <w:tcW w:w="748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740" w:type="dxa"/>
            <w:shd w:val="clear" w:color="auto" w:fill="D9E2F3"/>
          </w:tcPr>
          <w:tcPr/>
          <w:tcPr>
            <w:tcW w:w="3740" w:type="dxa"/>
            <w:shd w:val="clear" w:color="auto" w:fill="D9E2F3"/>
          </w:tcPr>
          <w:p>
            <w:pPr>
              <w:pStyle w:val="Compact"/>
            </w:pPr>
            <w:r>
              <w:t xml:space="preserve">Компонент</w:t>
            </w:r>
          </w:p>
        </w:tc>
        <w:tc>
          <w:tcPr>
            <w:tcW w:w="5111" w:type="dxa"/>
            <w:shd w:val="clear" w:color="auto" w:fill="D9E2F3"/>
          </w:tcPr>
          <w:tcPr/>
          <w:tcPr>
            <w:tcW w:w="5111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Интеграция RoiStat ↔ САМО-тур</w:t>
            </w:r>
          </w:p>
        </w:tc>
        <w:tc>
          <w:tcPr>
            <w:tcW w:w="5111" w:type="dxa"/>
          </w:tcPr>
          <w:tcPr/>
          <w:tcPr>
            <w:tcW w:w="5111" w:type="dxa"/>
          </w:tcPr>
          <w:p>
            <w:pPr>
              <w:pStyle w:val="Compact"/>
            </w:pPr>
            <w:r>
              <w:t xml:space="preserve">Передача данных о бронированиях и оплатах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Интеграция RoiStat ↔ Битрикс24</w:t>
            </w:r>
          </w:p>
        </w:tc>
        <w:tc>
          <w:tcPr>
            <w:tcW w:w="5111" w:type="dxa"/>
          </w:tcPr>
          <w:tcPr/>
          <w:tcPr>
            <w:tcW w:w="5111" w:type="dxa"/>
          </w:tcPr>
          <w:p>
            <w:pPr>
              <w:pStyle w:val="Compact"/>
            </w:pPr>
            <w:r>
              <w:t xml:space="preserve">Связь лидов с продажами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Интеграция рекламных кабинетов</w:t>
            </w:r>
          </w:p>
        </w:tc>
        <w:tc>
          <w:tcPr>
            <w:tcW w:w="5111" w:type="dxa"/>
          </w:tcPr>
          <w:tcPr/>
          <w:tcPr>
            <w:tcW w:w="5111" w:type="dxa"/>
          </w:tcPr>
          <w:p>
            <w:pPr>
              <w:pStyle w:val="Compact"/>
            </w:pPr>
            <w:r>
              <w:t xml:space="preserve">Яндекс.Директ, VK Ads, Google Ads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Настройка воронки</w:t>
            </w:r>
          </w:p>
        </w:tc>
        <w:tc>
          <w:tcPr>
            <w:tcW w:w="5111" w:type="dxa"/>
          </w:tcPr>
          <w:tcPr/>
          <w:tcPr>
            <w:tcW w:w="5111" w:type="dxa"/>
          </w:tcPr>
          <w:p>
            <w:pPr>
              <w:pStyle w:val="Compact"/>
            </w:pPr>
            <w:r>
              <w:t xml:space="preserve">Этапы: клик → лид → заявка → оплата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Дашборд ROI</w:t>
            </w:r>
          </w:p>
        </w:tc>
        <w:tc>
          <w:tcPr>
            <w:tcW w:w="5111" w:type="dxa"/>
          </w:tcPr>
          <w:tcPr/>
          <w:tcPr>
            <w:tcW w:w="5111" w:type="dxa"/>
          </w:tcPr>
          <w:p>
            <w:pPr>
              <w:pStyle w:val="Compact"/>
            </w:pPr>
            <w:r>
              <w:t xml:space="preserve">Автоматические отчёты по каналам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Алерты</w:t>
            </w:r>
          </w:p>
        </w:tc>
        <w:tc>
          <w:tcPr>
            <w:tcW w:w="5111" w:type="dxa"/>
          </w:tcPr>
          <w:tcPr/>
          <w:tcPr>
            <w:tcW w:w="5111" w:type="dxa"/>
          </w:tcPr>
          <w:p>
            <w:pPr>
              <w:pStyle w:val="Compact"/>
            </w:pPr>
            <w:r>
              <w:t xml:space="preserve">Уведомления при отклонениях от нормы</w:t>
            </w:r>
          </w:p>
        </w:tc>
      </w:tr>
    </w:tbl>
    <w:bookmarkEnd w:id="16"/>
    <w:bookmarkStart w:id="17" w:name="исключено-из-тз"/>
    <w:p>
      <w:pPr>
        <w:pStyle w:val="Heading3"/>
      </w:pPr>
      <w:r>
        <w:t xml:space="preserve">4.2. Исключено из ТЗ</w:t>
      </w:r>
    </w:p>
    <w:p>
      <w:pPr>
        <w:pStyle w:val="Compact"/>
        <w:numPr>
          <w:ilvl w:val="0"/>
          <w:numId w:val="1003"/>
        </w:numPr>
      </w:pPr>
      <w:r>
        <w:t xml:space="preserve">Интеграция с офлайн-каналами (только digital)</w:t>
      </w:r>
    </w:p>
    <w:p>
      <w:pPr>
        <w:pStyle w:val="Compact"/>
        <w:numPr>
          <w:ilvl w:val="0"/>
          <w:numId w:val="1003"/>
        </w:numPr>
      </w:pPr>
      <w:r>
        <w:t xml:space="preserve">Атрибуция ассоциированных конверсий (только last-click)</w:t>
      </w:r>
    </w:p>
    <w:p>
      <w:pPr>
        <w:pStyle w:val="Compact"/>
        <w:numPr>
          <w:ilvl w:val="0"/>
          <w:numId w:val="1003"/>
        </w:numPr>
      </w:pPr>
      <w:r>
        <w:t xml:space="preserve">Предиктивная аналитика (только ретроспективная)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входные-и-выходные-данные"/>
    <w:p>
      <w:pPr>
        <w:pStyle w:val="Heading2"/>
      </w:pPr>
      <w:r>
        <w:t xml:space="preserve">5. Входные и выходные данные</w:t>
      </w:r>
    </w:p>
    <w:bookmarkStart w:id="19" w:name="входные-данные"/>
    <w:p>
      <w:pPr>
        <w:pStyle w:val="Heading3"/>
      </w:pPr>
      <w:r>
        <w:t xml:space="preserve">5.1. Входные данные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02"/>
        <w:gridCol w:w="5358"/>
        <w:gridCol w:w="1339"/>
      </w:tblGrid>
      <w:tr>
        <w:trPr>
          <w:tblHeader w:val="on"/>
        </w:trPr>
        <w:tc>
          <w:tcPr>
            <w:tcW w:w="2902" w:type="dxa"/>
            <w:shd w:val="clear" w:color="auto" w:fill="D9E2F3"/>
          </w:tcPr>
          <w:tcPr/>
          <w:tcPr>
            <w:tcW w:w="2902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5358" w:type="dxa"/>
            <w:shd w:val="clear" w:color="auto" w:fill="D9E2F3"/>
          </w:tcPr>
          <w:tcPr/>
          <w:tcPr>
            <w:tcW w:w="5358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1339" w:type="dxa"/>
            <w:shd w:val="clear" w:color="auto" w:fill="D9E2F3"/>
          </w:tcPr>
          <w:tcPr/>
          <w:tcPr>
            <w:tcW w:w="1339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2902" w:type="dxa"/>
          </w:tcPr>
          <w:tcPr/>
          <w:tcPr>
            <w:tcW w:w="2902" w:type="dxa"/>
          </w:tcPr>
          <w:p>
            <w:pPr>
              <w:pStyle w:val="Compact"/>
            </w:pPr>
            <w:r>
              <w:t xml:space="preserve">Яндекс.Директ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Клики, расходы, кампании</w:t>
            </w:r>
          </w:p>
        </w:tc>
        <w:tc>
          <w:tcPr>
            <w:tcW w:w="1339" w:type="dxa"/>
          </w:tcPr>
          <w:tcPr/>
          <w:tcPr>
            <w:tcW w:w="1339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902" w:type="dxa"/>
          </w:tcPr>
          <w:tcPr/>
          <w:tcPr>
            <w:tcW w:w="2902" w:type="dxa"/>
          </w:tcPr>
          <w:p>
            <w:pPr>
              <w:pStyle w:val="Compact"/>
            </w:pPr>
            <w:r>
              <w:t xml:space="preserve">VK Ads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Клики, расходы, кампании</w:t>
            </w:r>
          </w:p>
        </w:tc>
        <w:tc>
          <w:tcPr>
            <w:tcW w:w="1339" w:type="dxa"/>
          </w:tcPr>
          <w:tcPr/>
          <w:tcPr>
            <w:tcW w:w="1339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902" w:type="dxa"/>
          </w:tcPr>
          <w:tcPr/>
          <w:tcPr>
            <w:tcW w:w="2902" w:type="dxa"/>
          </w:tcPr>
          <w:p>
            <w:pPr>
              <w:pStyle w:val="Compact"/>
            </w:pPr>
            <w:r>
              <w:t xml:space="preserve">Google Ads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Клики, расходы, кампании</w:t>
            </w:r>
          </w:p>
        </w:tc>
        <w:tc>
          <w:tcPr>
            <w:tcW w:w="1339" w:type="dxa"/>
          </w:tcPr>
          <w:tcPr/>
          <w:tcPr>
            <w:tcW w:w="1339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902" w:type="dxa"/>
          </w:tcPr>
          <w:tcPr/>
          <w:tcPr>
            <w:tcW w:w="2902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Лиды, сделки, суммы</w:t>
            </w:r>
          </w:p>
        </w:tc>
        <w:tc>
          <w:tcPr>
            <w:tcW w:w="1339" w:type="dxa"/>
          </w:tcPr>
          <w:tcPr/>
          <w:tcPr>
            <w:tcW w:w="1339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902" w:type="dxa"/>
          </w:tcPr>
          <w:tcPr/>
          <w:tcPr>
            <w:tcW w:w="2902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Бронирования, оплаты</w:t>
            </w:r>
          </w:p>
        </w:tc>
        <w:tc>
          <w:tcPr>
            <w:tcW w:w="1339" w:type="dxa"/>
          </w:tcPr>
          <w:tcPr/>
          <w:tcPr>
            <w:tcW w:w="1339" w:type="dxa"/>
          </w:tcPr>
          <w:p>
            <w:pPr>
              <w:pStyle w:val="Compact"/>
            </w:pPr>
            <w:r>
              <w:t xml:space="preserve">API</w:t>
            </w:r>
          </w:p>
        </w:tc>
      </w:tr>
    </w:tbl>
    <w:bookmarkEnd w:id="19"/>
    <w:bookmarkStart w:id="20" w:name="выходные-данные"/>
    <w:p>
      <w:pPr>
        <w:pStyle w:val="Heading3"/>
      </w:pPr>
      <w:r>
        <w:t xml:space="preserve">5.2. Выходные данные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955"/>
        <w:gridCol w:w="4800"/>
        <w:gridCol w:w="2844"/>
      </w:tblGrid>
      <w:tr>
        <w:trPr>
          <w:tblHeader w:val="on"/>
        </w:trPr>
        <w:tc>
          <w:tcPr>
            <w:tcW w:w="1955" w:type="dxa"/>
            <w:shd w:val="clear" w:color="auto" w:fill="D9E2F3"/>
          </w:tcPr>
          <w:tcPr/>
          <w:tcPr>
            <w:tcW w:w="1955" w:type="dxa"/>
            <w:shd w:val="clear" w:color="auto" w:fill="D9E2F3"/>
          </w:tcPr>
          <w:p>
            <w:pPr>
              <w:pStyle w:val="Compact"/>
            </w:pPr>
            <w:r>
              <w:t xml:space="preserve">Получатель</w:t>
            </w:r>
          </w:p>
        </w:tc>
        <w:tc>
          <w:tcPr>
            <w:tcW w:w="4800" w:type="dxa"/>
            <w:shd w:val="clear" w:color="auto" w:fill="D9E2F3"/>
          </w:tcPr>
          <w:tcPr/>
          <w:tcPr>
            <w:tcW w:w="4800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2844" w:type="dxa"/>
            <w:shd w:val="clear" w:color="auto" w:fill="D9E2F3"/>
          </w:tcPr>
          <w:tcPr/>
          <w:tcPr>
            <w:tcW w:w="2844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1955" w:type="dxa"/>
          </w:tcPr>
          <w:tcPr/>
          <w:tcPr>
            <w:tcW w:w="1955" w:type="dxa"/>
          </w:tcPr>
          <w:p>
            <w:pPr>
              <w:pStyle w:val="Compact"/>
            </w:pPr>
            <w:r>
              <w:t xml:space="preserve">Маркетинг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ROI по каналам, CPL, CPA</w:t>
            </w:r>
          </w:p>
        </w:tc>
        <w:tc>
          <w:tcPr>
            <w:tcW w:w="2844" w:type="dxa"/>
          </w:tcPr>
          <w:tcPr/>
          <w:tcPr>
            <w:tcW w:w="2844" w:type="dxa"/>
          </w:tcPr>
          <w:p>
            <w:pPr>
              <w:pStyle w:val="Compact"/>
            </w:pPr>
            <w:r>
              <w:t xml:space="preserve">Дашборд RoiStat</w:t>
            </w:r>
          </w:p>
        </w:tc>
      </w:tr>
      <w:tr>
        <w:tc>
          <w:tcPr>
            <w:tcW w:w="1955" w:type="dxa"/>
          </w:tcPr>
          <w:tcPr/>
          <w:tcPr>
            <w:tcW w:w="1955" w:type="dxa"/>
          </w:tcPr>
          <w:p>
            <w:pPr>
              <w:pStyle w:val="Compact"/>
            </w:pPr>
            <w:r>
              <w:t xml:space="preserve">Руководство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Сводный отчёт эффективности</w:t>
            </w:r>
          </w:p>
        </w:tc>
        <w:tc>
          <w:tcPr>
            <w:tcW w:w="2844" w:type="dxa"/>
          </w:tcPr>
          <w:tcPr/>
          <w:tcPr>
            <w:tcW w:w="2844" w:type="dxa"/>
          </w:tcPr>
          <w:p>
            <w:pPr>
              <w:pStyle w:val="Compact"/>
            </w:pPr>
            <w:r>
              <w:t xml:space="preserve">Email / Power BI</w:t>
            </w:r>
          </w:p>
        </w:tc>
      </w:tr>
      <w:tr>
        <w:tc>
          <w:tcPr>
            <w:tcW w:w="1955" w:type="dxa"/>
          </w:tcPr>
          <w:tcPr/>
          <w:tcPr>
            <w:tcW w:w="1955" w:type="dxa"/>
          </w:tcPr>
          <w:p>
            <w:pPr>
              <w:pStyle w:val="Compact"/>
            </w:pPr>
            <w:r>
              <w:t xml:space="preserve">Финансы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Связь затрат и выручки</w:t>
            </w:r>
          </w:p>
        </w:tc>
        <w:tc>
          <w:tcPr>
            <w:tcW w:w="2844" w:type="dxa"/>
          </w:tcPr>
          <w:tcPr/>
          <w:tcPr>
            <w:tcW w:w="2844" w:type="dxa"/>
          </w:tcPr>
          <w:p>
            <w:pPr>
              <w:pStyle w:val="Compact"/>
            </w:pPr>
            <w:r>
              <w:t xml:space="preserve">Excel / BI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технические-требования"/>
    <w:p>
      <w:pPr>
        <w:pStyle w:val="Heading2"/>
      </w:pPr>
      <w:r>
        <w:t xml:space="preserve">6. Технические требования</w:t>
      </w:r>
    </w:p>
    <w:bookmarkStart w:id="22" w:name="интеграции"/>
    <w:p>
      <w:pPr>
        <w:pStyle w:val="Heading3"/>
      </w:pPr>
      <w:r>
        <w:t xml:space="preserve">6.1. Интеграции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600"/>
        <w:gridCol w:w="4200"/>
        <w:gridCol w:w="2800"/>
      </w:tblGrid>
      <w:tr>
        <w:trPr>
          <w:tblHeader w:val="on"/>
        </w:trPr>
        <w:tc>
          <w:tcPr>
            <w:tcW w:w="2600" w:type="dxa"/>
            <w:shd w:val="clear" w:color="auto" w:fill="D9E2F3"/>
          </w:tcPr>
          <w:tcPr/>
          <w:tcPr>
            <w:tcW w:w="2600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4200" w:type="dxa"/>
            <w:shd w:val="clear" w:color="auto" w:fill="D9E2F3"/>
          </w:tcPr>
          <w:tcPr/>
          <w:tcPr>
            <w:tcW w:w="4200" w:type="dxa"/>
            <w:shd w:val="clear" w:color="auto" w:fill="D9E2F3"/>
          </w:tcPr>
          <w:p>
            <w:pPr>
              <w:pStyle w:val="Compact"/>
            </w:pPr>
            <w:r>
              <w:t xml:space="preserve">Тип интеграции</w:t>
            </w:r>
          </w:p>
        </w:tc>
        <w:tc>
          <w:tcPr>
            <w:tcW w:w="2800" w:type="dxa"/>
            <w:shd w:val="clear" w:color="auto" w:fill="D9E2F3"/>
          </w:tcPr>
          <w:tcPr/>
          <w:tcPr>
            <w:tcW w:w="2800" w:type="dxa"/>
            <w:shd w:val="clear" w:color="auto" w:fill="D9E2F3"/>
          </w:tcPr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>
            <w:tcW w:w="2600" w:type="dxa"/>
          </w:tcPr>
          <w:tcPr/>
          <w:tcPr>
            <w:tcW w:w="2600" w:type="dxa"/>
          </w:tcPr>
          <w:p>
            <w:pPr>
              <w:pStyle w:val="Compact"/>
            </w:pPr>
            <w:r>
              <w:t xml:space="preserve">RoiStat</w:t>
            </w:r>
          </w:p>
        </w:tc>
        <w:tc>
          <w:tcPr>
            <w:tcW w:w="4200" w:type="dxa"/>
          </w:tcPr>
          <w:tcPr/>
          <w:tcPr>
            <w:tcW w:w="4200" w:type="dxa"/>
          </w:tcPr>
          <w:p>
            <w:pPr>
              <w:pStyle w:val="Compact"/>
            </w:pPr>
            <w:r>
              <w:t xml:space="preserve">Центральная платформа</w:t>
            </w:r>
          </w:p>
        </w:tc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t xml:space="preserve">Нативный</w:t>
            </w:r>
          </w:p>
        </w:tc>
      </w:tr>
      <w:tr>
        <w:tc>
          <w:tcPr>
            <w:tcW w:w="2600" w:type="dxa"/>
          </w:tcPr>
          <w:tcPr/>
          <w:tcPr>
            <w:tcW w:w="2600" w:type="dxa"/>
          </w:tcPr>
          <w:p>
            <w:pPr>
              <w:pStyle w:val="Compact"/>
            </w:pPr>
            <w:r>
              <w:t xml:space="preserve">Яндекс.Директ</w:t>
            </w:r>
          </w:p>
        </w:tc>
        <w:tc>
          <w:tcPr>
            <w:tcW w:w="4200" w:type="dxa"/>
          </w:tcPr>
          <w:tcPr/>
          <w:tcPr>
            <w:tcW w:w="4200" w:type="dxa"/>
          </w:tcPr>
          <w:p>
            <w:pPr>
              <w:pStyle w:val="Compact"/>
            </w:pPr>
            <w:r>
              <w:t xml:space="preserve">Чтение данных</w:t>
            </w:r>
          </w:p>
        </w:tc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600" w:type="dxa"/>
          </w:tcPr>
          <w:tcPr/>
          <w:tcPr>
            <w:tcW w:w="2600" w:type="dxa"/>
          </w:tcPr>
          <w:p>
            <w:pPr>
              <w:pStyle w:val="Compact"/>
            </w:pPr>
            <w:r>
              <w:t xml:space="preserve">VK Ads</w:t>
            </w:r>
          </w:p>
        </w:tc>
        <w:tc>
          <w:tcPr>
            <w:tcW w:w="4200" w:type="dxa"/>
          </w:tcPr>
          <w:tcPr/>
          <w:tcPr>
            <w:tcW w:w="4200" w:type="dxa"/>
          </w:tcPr>
          <w:p>
            <w:pPr>
              <w:pStyle w:val="Compact"/>
            </w:pPr>
            <w:r>
              <w:t xml:space="preserve">Чтение данных</w:t>
            </w:r>
          </w:p>
        </w:tc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600" w:type="dxa"/>
          </w:tcPr>
          <w:tcPr/>
          <w:tcPr>
            <w:tcW w:w="2600" w:type="dxa"/>
          </w:tcPr>
          <w:p>
            <w:pPr>
              <w:pStyle w:val="Compact"/>
            </w:pPr>
            <w:r>
              <w:t xml:space="preserve">Google Ads</w:t>
            </w:r>
          </w:p>
        </w:tc>
        <w:tc>
          <w:tcPr>
            <w:tcW w:w="4200" w:type="dxa"/>
          </w:tcPr>
          <w:tcPr/>
          <w:tcPr>
            <w:tcW w:w="4200" w:type="dxa"/>
          </w:tcPr>
          <w:p>
            <w:pPr>
              <w:pStyle w:val="Compact"/>
            </w:pPr>
            <w:r>
              <w:t xml:space="preserve">Чтение данных</w:t>
            </w:r>
          </w:p>
        </w:tc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600" w:type="dxa"/>
          </w:tcPr>
          <w:tcPr/>
          <w:tcPr>
            <w:tcW w:w="2600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4200" w:type="dxa"/>
          </w:tcPr>
          <w:tcPr/>
          <w:tcPr>
            <w:tcW w:w="4200" w:type="dxa"/>
          </w:tcPr>
          <w:p>
            <w:pPr>
              <w:pStyle w:val="Compact"/>
            </w:pPr>
            <w:r>
              <w:t xml:space="preserve">Двусторонняя</w:t>
            </w:r>
          </w:p>
        </w:tc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t xml:space="preserve">API + Webhook</w:t>
            </w:r>
          </w:p>
        </w:tc>
      </w:tr>
      <w:tr>
        <w:tc>
          <w:tcPr>
            <w:tcW w:w="2600" w:type="dxa"/>
          </w:tcPr>
          <w:tcPr/>
          <w:tcPr>
            <w:tcW w:w="2600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4200" w:type="dxa"/>
          </w:tcPr>
          <w:tcPr/>
          <w:tcPr>
            <w:tcW w:w="4200" w:type="dxa"/>
          </w:tcPr>
          <w:p>
            <w:pPr>
              <w:pStyle w:val="Compact"/>
            </w:pPr>
            <w:r>
              <w:t xml:space="preserve">Чтение данных</w:t>
            </w:r>
          </w:p>
        </w:tc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t xml:space="preserve">API / выгрузка</w:t>
            </w:r>
          </w:p>
        </w:tc>
      </w:tr>
    </w:tbl>
    <w:bookmarkEnd w:id="22"/>
    <w:bookmarkStart w:id="23" w:name="нефункциональные-требования"/>
    <w:p>
      <w:pPr>
        <w:pStyle w:val="Heading3"/>
      </w:pPr>
      <w:r>
        <w:t xml:space="preserve">6.2. Нефункциональные требования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760"/>
        <w:gridCol w:w="3840"/>
      </w:tblGrid>
      <w:tr>
        <w:trPr>
          <w:tblHeader w:val="on"/>
        </w:trPr>
        <w:tc>
          <w:tcPr>
            <w:tcW w:w="5760" w:type="dxa"/>
            <w:shd w:val="clear" w:color="auto" w:fill="D9E2F3"/>
          </w:tcPr>
          <w:tcPr/>
          <w:tcPr>
            <w:tcW w:w="5760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3840" w:type="dxa"/>
            <w:shd w:val="clear" w:color="auto" w:fill="D9E2F3"/>
          </w:tcPr>
          <w:tcPr/>
          <w:tcPr>
            <w:tcW w:w="384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Задержка данных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&lt; 24 часа</w:t>
            </w:r>
          </w:p>
        </w:tc>
      </w:tr>
      <w:tr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Точность атрибуции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&gt; 95%</w:t>
            </w:r>
          </w:p>
        </w:tc>
      </w:tr>
      <w:tr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Глубина хранения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24 месяца</w:t>
            </w:r>
          </w:p>
        </w:tc>
      </w:tr>
      <w:tr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Доступность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99%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план-реализации"/>
    <w:p>
      <w:pPr>
        <w:pStyle w:val="Heading2"/>
      </w:pPr>
      <w:r>
        <w:t xml:space="preserve">7. План реализации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236"/>
        <w:gridCol w:w="4099"/>
        <w:gridCol w:w="970"/>
        <w:gridCol w:w="1294"/>
      </w:tblGrid>
      <w:tr>
        <w:trPr>
          <w:tblHeader w:val="on"/>
        </w:trPr>
        <w:tc>
          <w:tcPr>
            <w:tcW w:w="3236" w:type="dxa"/>
            <w:shd w:val="clear" w:color="auto" w:fill="D9E2F3"/>
          </w:tcPr>
          <w:tcPr/>
          <w:tcPr>
            <w:tcW w:w="3236" w:type="dxa"/>
            <w:shd w:val="clear" w:color="auto" w:fill="D9E2F3"/>
          </w:tcPr>
          <w:p>
            <w:pPr>
              <w:pStyle w:val="Compact"/>
            </w:pPr>
            <w:r>
              <w:t xml:space="preserve">Фаза</w:t>
            </w:r>
          </w:p>
        </w:tc>
        <w:tc>
          <w:tcPr>
            <w:tcW w:w="4099" w:type="dxa"/>
            <w:shd w:val="clear" w:color="auto" w:fill="D9E2F3"/>
          </w:tcPr>
          <w:tcPr/>
          <w:tcPr>
            <w:tcW w:w="4099" w:type="dxa"/>
            <w:shd w:val="clear" w:color="auto" w:fill="D9E2F3"/>
          </w:tcPr>
          <w:p>
            <w:pPr>
              <w:pStyle w:val="Compact"/>
            </w:pPr>
            <w:r>
              <w:t xml:space="preserve">Задачи</w:t>
            </w:r>
          </w:p>
        </w:tc>
        <w:tc>
          <w:tcPr>
            <w:tcW w:w="970" w:type="dxa"/>
            <w:shd w:val="clear" w:color="auto" w:fill="D9E2F3"/>
          </w:tcPr>
          <w:tcPr/>
          <w:tcPr>
            <w:tcW w:w="970" w:type="dxa"/>
            <w:shd w:val="clear" w:color="auto" w:fill="D9E2F3"/>
          </w:tcPr>
          <w:p>
            <w:pPr>
              <w:pStyle w:val="Compact"/>
            </w:pPr>
            <w:r>
              <w:t xml:space="preserve">Срок</w:t>
            </w:r>
          </w:p>
        </w:tc>
        <w:tc>
          <w:tcPr>
            <w:tcW w:w="1294" w:type="dxa"/>
            <w:shd w:val="clear" w:color="auto" w:fill="D9E2F3"/>
          </w:tcPr>
          <w:tcPr/>
          <w:tcPr>
            <w:tcW w:w="1294" w:type="dxa"/>
            <w:shd w:val="clear" w:color="auto" w:fill="D9E2F3"/>
          </w:tcPr>
          <w:p>
            <w:pPr>
              <w:pStyle w:val="Compact"/>
            </w:pPr>
            <w:r>
              <w:t xml:space="preserve">Трудозатраты</w:t>
            </w:r>
          </w:p>
        </w:tc>
      </w:tr>
      <w:tr>
        <w:tc>
          <w:tcPr>
            <w:tcW w:w="3236" w:type="dxa"/>
          </w:tcPr>
          <w:tcPr/>
          <w:tcPr>
            <w:tcW w:w="3236" w:type="dxa"/>
          </w:tcPr>
          <w:p>
            <w:pPr>
              <w:pStyle w:val="Compact"/>
            </w:pPr>
            <w:r>
              <w:t xml:space="preserve">1. Аудит текущей настройки</w:t>
            </w:r>
          </w:p>
        </w:tc>
        <w:tc>
          <w:tcPr>
            <w:tcW w:w="4099" w:type="dxa"/>
          </w:tcPr>
          <w:tcPr/>
          <w:tcPr>
            <w:tcW w:w="4099" w:type="dxa"/>
          </w:tcPr>
          <w:p>
            <w:pPr>
              <w:pStyle w:val="Compact"/>
            </w:pPr>
            <w:r>
              <w:t xml:space="preserve">Анализ RoiStat, выявление пробелов</w:t>
            </w:r>
          </w:p>
        </w:tc>
        <w:tc>
          <w:tcPr>
            <w:tcW w:w="970" w:type="dxa"/>
          </w:tcPr>
          <w:tcPr/>
          <w:tcPr>
            <w:tcW w:w="970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294" w:type="dxa"/>
          </w:tcPr>
          <w:tcPr/>
          <w:tcPr>
            <w:tcW w:w="1294" w:type="dxa"/>
          </w:tcPr>
          <w:p>
            <w:pPr>
              <w:pStyle w:val="Compact"/>
            </w:pPr>
            <w:r>
              <w:t xml:space="preserve">20 ч</w:t>
            </w:r>
          </w:p>
        </w:tc>
      </w:tr>
      <w:tr>
        <w:tc>
          <w:tcPr>
            <w:tcW w:w="3236" w:type="dxa"/>
          </w:tcPr>
          <w:tcPr/>
          <w:tcPr>
            <w:tcW w:w="3236" w:type="dxa"/>
          </w:tcPr>
          <w:p>
            <w:pPr>
              <w:pStyle w:val="Compact"/>
            </w:pPr>
            <w:r>
              <w:t xml:space="preserve">2. Интеграция рекламных систем</w:t>
            </w:r>
          </w:p>
        </w:tc>
        <w:tc>
          <w:tcPr>
            <w:tcW w:w="4099" w:type="dxa"/>
          </w:tcPr>
          <w:tcPr/>
          <w:tcPr>
            <w:tcW w:w="4099" w:type="dxa"/>
          </w:tcPr>
          <w:p>
            <w:pPr>
              <w:pStyle w:val="Compact"/>
            </w:pPr>
            <w:r>
              <w:t xml:space="preserve">Яндекс, VK, Google</w:t>
            </w:r>
          </w:p>
        </w:tc>
        <w:tc>
          <w:tcPr>
            <w:tcW w:w="970" w:type="dxa"/>
          </w:tcPr>
          <w:tcPr/>
          <w:tcPr>
            <w:tcW w:w="970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294" w:type="dxa"/>
          </w:tcPr>
          <w:tcPr/>
          <w:tcPr>
            <w:tcW w:w="1294" w:type="dxa"/>
          </w:tcPr>
          <w:p>
            <w:pPr>
              <w:pStyle w:val="Compact"/>
            </w:pPr>
            <w:r>
              <w:t xml:space="preserve">40 ч</w:t>
            </w:r>
          </w:p>
        </w:tc>
      </w:tr>
      <w:tr>
        <w:tc>
          <w:tcPr>
            <w:tcW w:w="3236" w:type="dxa"/>
          </w:tcPr>
          <w:tcPr/>
          <w:tcPr>
            <w:tcW w:w="3236" w:type="dxa"/>
          </w:tcPr>
          <w:p>
            <w:pPr>
              <w:pStyle w:val="Compact"/>
            </w:pPr>
            <w:r>
              <w:t xml:space="preserve">3. Интеграция Битрикс24</w:t>
            </w:r>
          </w:p>
        </w:tc>
        <w:tc>
          <w:tcPr>
            <w:tcW w:w="4099" w:type="dxa"/>
          </w:tcPr>
          <w:tcPr/>
          <w:tcPr>
            <w:tcW w:w="4099" w:type="dxa"/>
          </w:tcPr>
          <w:p>
            <w:pPr>
              <w:pStyle w:val="Compact"/>
            </w:pPr>
            <w:r>
              <w:t xml:space="preserve">Настройка webhook, сопоставление полей</w:t>
            </w:r>
          </w:p>
        </w:tc>
        <w:tc>
          <w:tcPr>
            <w:tcW w:w="970" w:type="dxa"/>
          </w:tcPr>
          <w:tcPr/>
          <w:tcPr>
            <w:tcW w:w="970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294" w:type="dxa"/>
          </w:tcPr>
          <w:tcPr/>
          <w:tcPr>
            <w:tcW w:w="1294" w:type="dxa"/>
          </w:tcPr>
          <w:p>
            <w:pPr>
              <w:pStyle w:val="Compact"/>
            </w:pPr>
            <w:r>
              <w:t xml:space="preserve">40 ч</w:t>
            </w:r>
          </w:p>
        </w:tc>
      </w:tr>
      <w:tr>
        <w:tc>
          <w:tcPr>
            <w:tcW w:w="3236" w:type="dxa"/>
          </w:tcPr>
          <w:tcPr/>
          <w:tcPr>
            <w:tcW w:w="3236" w:type="dxa"/>
          </w:tcPr>
          <w:p>
            <w:pPr>
              <w:pStyle w:val="Compact"/>
            </w:pPr>
            <w:r>
              <w:t xml:space="preserve">4. Интеграция САМО-тур</w:t>
            </w:r>
          </w:p>
        </w:tc>
        <w:tc>
          <w:tcPr>
            <w:tcW w:w="4099" w:type="dxa"/>
          </w:tcPr>
          <w:tcPr/>
          <w:tcPr>
            <w:tcW w:w="4099" w:type="dxa"/>
          </w:tcPr>
          <w:p>
            <w:pPr>
              <w:pStyle w:val="Compact"/>
            </w:pPr>
            <w:r>
              <w:t xml:space="preserve">Передача данных о бронированиях</w:t>
            </w:r>
          </w:p>
        </w:tc>
        <w:tc>
          <w:tcPr>
            <w:tcW w:w="970" w:type="dxa"/>
          </w:tcPr>
          <w:tcPr/>
          <w:tcPr>
            <w:tcW w:w="970" w:type="dxa"/>
          </w:tcPr>
          <w:p>
            <w:pPr>
              <w:pStyle w:val="Compact"/>
            </w:pPr>
            <w:r>
              <w:t xml:space="preserve">3 недели</w:t>
            </w:r>
          </w:p>
        </w:tc>
        <w:tc>
          <w:tcPr>
            <w:tcW w:w="1294" w:type="dxa"/>
          </w:tcPr>
          <w:tcPr/>
          <w:tcPr>
            <w:tcW w:w="1294" w:type="dxa"/>
          </w:tcPr>
          <w:p>
            <w:pPr>
              <w:pStyle w:val="Compact"/>
            </w:pPr>
            <w:r>
              <w:t xml:space="preserve">60 ч</w:t>
            </w:r>
          </w:p>
        </w:tc>
      </w:tr>
      <w:tr>
        <w:tc>
          <w:tcPr>
            <w:tcW w:w="3236" w:type="dxa"/>
          </w:tcPr>
          <w:tcPr/>
          <w:tcPr>
            <w:tcW w:w="3236" w:type="dxa"/>
          </w:tcPr>
          <w:p>
            <w:pPr>
              <w:pStyle w:val="Compact"/>
            </w:pPr>
            <w:r>
              <w:t xml:space="preserve">5. Настройка воронки и отчётов</w:t>
            </w:r>
          </w:p>
        </w:tc>
        <w:tc>
          <w:tcPr>
            <w:tcW w:w="4099" w:type="dxa"/>
          </w:tcPr>
          <w:tcPr/>
          <w:tcPr>
            <w:tcW w:w="4099" w:type="dxa"/>
          </w:tcPr>
          <w:p>
            <w:pPr>
              <w:pStyle w:val="Compact"/>
            </w:pPr>
            <w:r>
              <w:t xml:space="preserve">Этапы, дашборды, алерты</w:t>
            </w:r>
          </w:p>
        </w:tc>
        <w:tc>
          <w:tcPr>
            <w:tcW w:w="970" w:type="dxa"/>
          </w:tcPr>
          <w:tcPr/>
          <w:tcPr>
            <w:tcW w:w="970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294" w:type="dxa"/>
          </w:tcPr>
          <w:tcPr/>
          <w:tcPr>
            <w:tcW w:w="1294" w:type="dxa"/>
          </w:tcPr>
          <w:p>
            <w:pPr>
              <w:pStyle w:val="Compact"/>
            </w:pPr>
            <w:r>
              <w:t xml:space="preserve">40 ч</w:t>
            </w:r>
          </w:p>
        </w:tc>
      </w:tr>
      <w:tr>
        <w:tc>
          <w:tcPr>
            <w:tcW w:w="3236" w:type="dxa"/>
          </w:tcPr>
          <w:tcPr/>
          <w:tcPr>
            <w:tcW w:w="3236" w:type="dxa"/>
          </w:tcPr>
          <w:p>
            <w:pPr>
              <w:pStyle w:val="Compact"/>
            </w:pPr>
            <w:r>
              <w:t xml:space="preserve">6. Тестирование и запуск</w:t>
            </w:r>
          </w:p>
        </w:tc>
        <w:tc>
          <w:tcPr>
            <w:tcW w:w="4099" w:type="dxa"/>
          </w:tcPr>
          <w:tcPr/>
          <w:tcPr>
            <w:tcW w:w="4099" w:type="dxa"/>
          </w:tcPr>
          <w:p>
            <w:pPr>
              <w:pStyle w:val="Compact"/>
            </w:pPr>
            <w:r>
              <w:t xml:space="preserve">Верификация данных, обучение</w:t>
            </w:r>
          </w:p>
        </w:tc>
        <w:tc>
          <w:tcPr>
            <w:tcW w:w="970" w:type="dxa"/>
          </w:tcPr>
          <w:tcPr/>
          <w:tcPr>
            <w:tcW w:w="970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294" w:type="dxa"/>
          </w:tcPr>
          <w:tcPr/>
          <w:tcPr>
            <w:tcW w:w="1294" w:type="dxa"/>
          </w:tcPr>
          <w:p>
            <w:pPr>
              <w:pStyle w:val="Compact"/>
            </w:pPr>
            <w:r>
              <w:t xml:space="preserve">20 ч</w:t>
            </w:r>
          </w:p>
        </w:tc>
      </w:tr>
      <w:tr>
        <w:tc>
          <w:tcPr>
            <w:tcW w:w="3236" w:type="dxa"/>
          </w:tcPr>
          <w:tcPr/>
          <w:tcPr>
            <w:tcW w:w="323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4099" w:type="dxa"/>
          </w:tcPr>
          <w:tcPr/>
          <w:tcPr>
            <w:tcW w:w="4099" w:type="dxa"/>
          </w:tcPr>
          <w:p>
            <w:pPr>
              <w:pStyle w:val="Compact"/>
            </w:pPr>
          </w:p>
        </w:tc>
        <w:tc>
          <w:tcPr>
            <w:tcW w:w="970" w:type="dxa"/>
          </w:tcPr>
          <w:tcPr/>
          <w:tcPr>
            <w:tcW w:w="97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11 недель</w:t>
            </w:r>
          </w:p>
        </w:tc>
        <w:tc>
          <w:tcPr>
            <w:tcW w:w="1294" w:type="dxa"/>
          </w:tcPr>
          <w:tcPr/>
          <w:tcPr>
            <w:tcW w:w="12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220 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критерии-приёмки"/>
    <w:p>
      <w:pPr>
        <w:pStyle w:val="Heading2"/>
      </w:pPr>
      <w:r>
        <w:t xml:space="preserve">8. Критерии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8"/>
        <w:gridCol w:w="5485"/>
        <w:gridCol w:w="3366"/>
      </w:tblGrid>
      <w:tr>
        <w:trPr>
          <w:tblHeader w:val="on"/>
        </w:trPr>
        <w:tc>
          <w:tcPr>
            <w:tcW w:w="748" w:type="dxa"/>
            <w:shd w:val="clear" w:color="auto" w:fill="D9E2F3"/>
          </w:tcPr>
          <w:tcPr/>
          <w:tcPr>
            <w:tcW w:w="748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5485" w:type="dxa"/>
            <w:shd w:val="clear" w:color="auto" w:fill="D9E2F3"/>
          </w:tcPr>
          <w:tcPr/>
          <w:tcPr>
            <w:tcW w:w="5485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3366" w:type="dxa"/>
            <w:shd w:val="clear" w:color="auto" w:fill="D9E2F3"/>
          </w:tcPr>
          <w:tcPr/>
          <w:tcPr>
            <w:tcW w:w="3366" w:type="dxa"/>
            <w:shd w:val="clear" w:color="auto" w:fill="D9E2F3"/>
          </w:tcPr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5485" w:type="dxa"/>
          </w:tcPr>
          <w:tcPr/>
          <w:tcPr>
            <w:tcW w:w="5485" w:type="dxa"/>
          </w:tcPr>
          <w:p>
            <w:pPr>
              <w:pStyle w:val="Compact"/>
            </w:pPr>
            <w:r>
              <w:t xml:space="preserve">Данные рекламных систем поступают ежедневно</w:t>
            </w:r>
          </w:p>
        </w:tc>
        <w:tc>
          <w:tcPr>
            <w:tcW w:w="3366" w:type="dxa"/>
          </w:tcPr>
          <w:tcPr/>
          <w:tcPr>
            <w:tcW w:w="3366" w:type="dxa"/>
          </w:tcPr>
          <w:p>
            <w:pPr>
              <w:pStyle w:val="Compact"/>
            </w:pPr>
            <w:r>
              <w:t xml:space="preserve">Проверка RoiStat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5485" w:type="dxa"/>
          </w:tcPr>
          <w:tcPr/>
          <w:tcPr>
            <w:tcW w:w="5485" w:type="dxa"/>
          </w:tcPr>
          <w:p>
            <w:pPr>
              <w:pStyle w:val="Compact"/>
            </w:pPr>
            <w:r>
              <w:t xml:space="preserve">Лиды из Б24 связаны с рекламными источниками</w:t>
            </w:r>
          </w:p>
        </w:tc>
        <w:tc>
          <w:tcPr>
            <w:tcW w:w="3366" w:type="dxa"/>
          </w:tcPr>
          <w:tcPr/>
          <w:tcPr>
            <w:tcW w:w="3366" w:type="dxa"/>
          </w:tcPr>
          <w:p>
            <w:pPr>
              <w:pStyle w:val="Compact"/>
            </w:pPr>
            <w:r>
              <w:t xml:space="preserve">Сверка 100 лидов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5485" w:type="dxa"/>
          </w:tcPr>
          <w:tcPr/>
          <w:tcPr>
            <w:tcW w:w="5485" w:type="dxa"/>
          </w:tcPr>
          <w:p>
            <w:pPr>
              <w:pStyle w:val="Compact"/>
            </w:pPr>
            <w:r>
              <w:t xml:space="preserve">Оплаты из САМО отражаются в воронке</w:t>
            </w:r>
          </w:p>
        </w:tc>
        <w:tc>
          <w:tcPr>
            <w:tcW w:w="3366" w:type="dxa"/>
          </w:tcPr>
          <w:tcPr/>
          <w:tcPr>
            <w:tcW w:w="3366" w:type="dxa"/>
          </w:tcPr>
          <w:p>
            <w:pPr>
              <w:pStyle w:val="Compact"/>
            </w:pPr>
            <w:r>
              <w:t xml:space="preserve">Сверка 50 оплат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5485" w:type="dxa"/>
          </w:tcPr>
          <w:tcPr/>
          <w:tcPr>
            <w:tcW w:w="5485" w:type="dxa"/>
          </w:tcPr>
          <w:p>
            <w:pPr>
              <w:pStyle w:val="Compact"/>
            </w:pPr>
            <w:r>
              <w:t xml:space="preserve">ROI по каналам рассчитывается автоматически</w:t>
            </w:r>
          </w:p>
        </w:tc>
        <w:tc>
          <w:tcPr>
            <w:tcW w:w="3366" w:type="dxa"/>
          </w:tcPr>
          <w:tcPr/>
          <w:tcPr>
            <w:tcW w:w="3366" w:type="dxa"/>
          </w:tcPr>
          <w:p>
            <w:pPr>
              <w:pStyle w:val="Compact"/>
            </w:pPr>
            <w:r>
              <w:t xml:space="preserve">Сравнение с ручным расчётом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5485" w:type="dxa"/>
          </w:tcPr>
          <w:tcPr/>
          <w:tcPr>
            <w:tcW w:w="5485" w:type="dxa"/>
          </w:tcPr>
          <w:p>
            <w:pPr>
              <w:pStyle w:val="Compact"/>
            </w:pPr>
            <w:r>
              <w:t xml:space="preserve">Алерты отправляются при отклонениях</w:t>
            </w:r>
          </w:p>
        </w:tc>
        <w:tc>
          <w:tcPr>
            <w:tcW w:w="3366" w:type="dxa"/>
          </w:tcPr>
          <w:tcPr/>
          <w:tcPr>
            <w:tcW w:w="3366" w:type="dxa"/>
          </w:tcPr>
          <w:p>
            <w:pPr>
              <w:pStyle w:val="Compact"/>
            </w:pPr>
            <w:r>
              <w:t xml:space="preserve">Тест триггеров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риски-и-митигация"/>
    <w:p>
      <w:pPr>
        <w:pStyle w:val="Heading2"/>
      </w:pPr>
      <w:r>
        <w:t xml:space="preserve">9. Риски и митигация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512"/>
        <w:gridCol w:w="1287"/>
        <w:gridCol w:w="819"/>
        <w:gridCol w:w="3980"/>
      </w:tblGrid>
      <w:tr>
        <w:trPr>
          <w:tblHeader w:val="on"/>
        </w:trPr>
        <w:tc>
          <w:tcPr>
            <w:tcW w:w="3512" w:type="dxa"/>
            <w:shd w:val="clear" w:color="auto" w:fill="D9E2F3"/>
          </w:tcPr>
          <w:tcPr/>
          <w:tcPr>
            <w:tcW w:w="3512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287" w:type="dxa"/>
            <w:shd w:val="clear" w:color="auto" w:fill="D9E2F3"/>
          </w:tcPr>
          <w:tcPr/>
          <w:tcPr>
            <w:tcW w:w="1287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819" w:type="dxa"/>
            <w:shd w:val="clear" w:color="auto" w:fill="D9E2F3"/>
          </w:tcPr>
          <w:tcPr/>
          <w:tcPr>
            <w:tcW w:w="819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3980" w:type="dxa"/>
            <w:shd w:val="clear" w:color="auto" w:fill="D9E2F3"/>
          </w:tcPr>
          <w:tcPr/>
          <w:tcPr>
            <w:tcW w:w="3980" w:type="dxa"/>
            <w:shd w:val="clear" w:color="auto" w:fill="D9E2F3"/>
          </w:tcPr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Ограничения API САМО-тур</w:t>
            </w:r>
          </w:p>
        </w:tc>
        <w:tc>
          <w:tcPr>
            <w:tcW w:w="1287" w:type="dxa"/>
          </w:tcPr>
          <w:tcPr/>
          <w:tcPr>
            <w:tcW w:w="1287" w:type="dxa"/>
          </w:tcPr>
          <w:p>
            <w:pPr>
              <w:pStyle w:val="Compact"/>
            </w:pPr>
            <w:r>
              <w:t xml:space="preserve">Высокая</w:t>
            </w:r>
          </w:p>
        </w:tc>
        <w:tc>
          <w:tcPr>
            <w:tcW w:w="819" w:type="dxa"/>
          </w:tcPr>
          <w:tcPr/>
          <w:tcPr>
            <w:tcW w:w="819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3980" w:type="dxa"/>
          </w:tcPr>
          <w:tcPr/>
          <w:tcPr>
            <w:tcW w:w="3980" w:type="dxa"/>
          </w:tcPr>
          <w:p>
            <w:pPr>
              <w:pStyle w:val="Compact"/>
            </w:pPr>
            <w:r>
              <w:t xml:space="preserve">Альтернатива: файловая выгрузка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Изменения API рекламных систем</w:t>
            </w:r>
          </w:p>
        </w:tc>
        <w:tc>
          <w:tcPr>
            <w:tcW w:w="1287" w:type="dxa"/>
          </w:tcPr>
          <w:tcPr/>
          <w:tcPr>
            <w:tcW w:w="1287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819" w:type="dxa"/>
          </w:tcPr>
          <w:tcPr/>
          <w:tcPr>
            <w:tcW w:w="819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980" w:type="dxa"/>
          </w:tcPr>
          <w:tcPr/>
          <w:tcPr>
            <w:tcW w:w="3980" w:type="dxa"/>
          </w:tcPr>
          <w:p>
            <w:pPr>
              <w:pStyle w:val="Compact"/>
            </w:pPr>
            <w:r>
              <w:t xml:space="preserve">Мониторинг, оперативное обновление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Неточности атрибуции</w:t>
            </w:r>
          </w:p>
        </w:tc>
        <w:tc>
          <w:tcPr>
            <w:tcW w:w="1287" w:type="dxa"/>
          </w:tcPr>
          <w:tcPr/>
          <w:tcPr>
            <w:tcW w:w="1287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819" w:type="dxa"/>
          </w:tcPr>
          <w:tcPr/>
          <w:tcPr>
            <w:tcW w:w="819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980" w:type="dxa"/>
          </w:tcPr>
          <w:tcPr/>
          <w:tcPr>
            <w:tcW w:w="3980" w:type="dxa"/>
          </w:tcPr>
          <w:p>
            <w:pPr>
              <w:pStyle w:val="Compact"/>
            </w:pPr>
            <w:r>
              <w:t xml:space="preserve">Регулярная верификация данных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оценка"/>
    <w:p>
      <w:pPr>
        <w:pStyle w:val="Heading2"/>
      </w:pPr>
      <w:r>
        <w:t xml:space="preserve">10. Оценка</w:t>
      </w:r>
    </w:p>
    <w:bookmarkStart w:id="28" w:name="трудозатраты"/>
    <w:p>
      <w:pPr>
        <w:pStyle w:val="Heading3"/>
      </w:pPr>
      <w:r>
        <w:t xml:space="preserve">10.1. Трудозатраты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822"/>
        <w:gridCol w:w="1777"/>
      </w:tblGrid>
      <w:tr>
        <w:trPr>
          <w:tblHeader w:val="on"/>
        </w:trPr>
        <w:tc>
          <w:tcPr>
            <w:tcW w:w="7822" w:type="dxa"/>
            <w:shd w:val="clear" w:color="auto" w:fill="D9E2F3"/>
          </w:tcPr>
          <w:tcPr/>
          <w:tcPr>
            <w:tcW w:w="7822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1777" w:type="dxa"/>
            <w:shd w:val="clear" w:color="auto" w:fill="D9E2F3"/>
          </w:tcPr>
          <w:tcPr/>
          <w:tcPr>
            <w:tcW w:w="1777" w:type="dxa"/>
            <w:shd w:val="clear" w:color="auto" w:fill="D9E2F3"/>
          </w:tcPr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>
            <w:tcW w:w="7822" w:type="dxa"/>
          </w:tcPr>
          <w:tcPr/>
          <w:tcPr>
            <w:tcW w:w="7822" w:type="dxa"/>
          </w:tcPr>
          <w:p>
            <w:pPr>
              <w:pStyle w:val="Compact"/>
            </w:pPr>
            <w:r>
              <w:t xml:space="preserve">Аналитик маркетинга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822" w:type="dxa"/>
          </w:tcPr>
          <w:tcPr/>
          <w:tcPr>
            <w:tcW w:w="7822" w:type="dxa"/>
          </w:tcPr>
          <w:p>
            <w:pPr>
              <w:pStyle w:val="Compact"/>
            </w:pPr>
            <w:r>
              <w:t xml:space="preserve">Специалист RoiStat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>
            <w:tcW w:w="7822" w:type="dxa"/>
          </w:tcPr>
          <w:tcPr/>
          <w:tcPr>
            <w:tcW w:w="7822" w:type="dxa"/>
          </w:tcPr>
          <w:p>
            <w:pPr>
              <w:pStyle w:val="Compact"/>
            </w:pPr>
            <w:r>
              <w:t xml:space="preserve">Разработчик интеграций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822" w:type="dxa"/>
          </w:tcPr>
          <w:tcPr/>
          <w:tcPr>
            <w:tcW w:w="7822" w:type="dxa"/>
          </w:tcPr>
          <w:p>
            <w:pPr>
              <w:pStyle w:val="Compact"/>
            </w:pPr>
            <w:r>
              <w:t xml:space="preserve">QA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>
            <w:tcW w:w="7822" w:type="dxa"/>
          </w:tcPr>
          <w:tcPr/>
          <w:tcPr>
            <w:tcW w:w="78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220 ч</w:t>
            </w:r>
          </w:p>
        </w:tc>
      </w:tr>
    </w:tbl>
    <w:bookmarkEnd w:id="28"/>
    <w:bookmarkStart w:id="29" w:name="стоимость"/>
    <w:p>
      <w:pPr>
        <w:pStyle w:val="Heading3"/>
      </w:pPr>
      <w:r>
        <w:t xml:space="preserve">10.2. Стоимость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843"/>
        <w:gridCol w:w="3756"/>
      </w:tblGrid>
      <w:tr>
        <w:trPr>
          <w:tblHeader w:val="on"/>
        </w:trPr>
        <w:tc>
          <w:tcPr>
            <w:tcW w:w="5843" w:type="dxa"/>
            <w:shd w:val="clear" w:color="auto" w:fill="D9E2F3"/>
          </w:tcPr>
          <w:tcPr/>
          <w:tcPr>
            <w:tcW w:w="5843" w:type="dxa"/>
            <w:shd w:val="clear" w:color="auto" w:fill="D9E2F3"/>
          </w:tcPr>
          <w:p>
            <w:pPr>
              <w:pStyle w:val="Compact"/>
            </w:pPr>
            <w:r>
              <w:t xml:space="preserve">Статья</w:t>
            </w:r>
          </w:p>
        </w:tc>
        <w:tc>
          <w:tcPr>
            <w:tcW w:w="3756" w:type="dxa"/>
            <w:shd w:val="clear" w:color="auto" w:fill="D9E2F3"/>
          </w:tcPr>
          <w:tcPr/>
          <w:tcPr>
            <w:tcW w:w="3756" w:type="dxa"/>
            <w:shd w:val="clear" w:color="auto" w:fill="D9E2F3"/>
          </w:tcPr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>
            <w:tcW w:w="5843" w:type="dxa"/>
          </w:tcPr>
          <w:tcPr/>
          <w:tcPr>
            <w:tcW w:w="5843" w:type="dxa"/>
          </w:tcPr>
          <w:p>
            <w:pPr>
              <w:pStyle w:val="Compact"/>
            </w:pPr>
            <w:r>
              <w:t xml:space="preserve">Разработка (220 ч × 3 000 ₽)</w:t>
            </w:r>
          </w:p>
        </w:tc>
        <w:tc>
          <w:tcPr>
            <w:tcW w:w="3756" w:type="dxa"/>
          </w:tcPr>
          <w:tcPr/>
          <w:tcPr>
            <w:tcW w:w="3756" w:type="dxa"/>
          </w:tcPr>
          <w:p>
            <w:pPr>
              <w:pStyle w:val="Compact"/>
            </w:pPr>
            <w:r>
              <w:t xml:space="preserve">660 000 ₽</w:t>
            </w:r>
          </w:p>
        </w:tc>
      </w:tr>
      <w:tr>
        <w:tc>
          <w:tcPr>
            <w:tcW w:w="5843" w:type="dxa"/>
          </w:tcPr>
          <w:tcPr/>
          <w:tcPr>
            <w:tcW w:w="5843" w:type="dxa"/>
          </w:tcPr>
          <w:p>
            <w:pPr>
              <w:pStyle w:val="Compact"/>
            </w:pPr>
            <w:r>
              <w:t xml:space="preserve">Лицензия RoiStat</w:t>
            </w:r>
          </w:p>
        </w:tc>
        <w:tc>
          <w:tcPr>
            <w:tcW w:w="3756" w:type="dxa"/>
          </w:tcPr>
          <w:tcPr/>
          <w:tcPr>
            <w:tcW w:w="3756" w:type="dxa"/>
          </w:tcPr>
          <w:p>
            <w:pPr>
              <w:pStyle w:val="Compact"/>
            </w:pPr>
            <w:r>
              <w:t xml:space="preserve">По текущему тарифу</w:t>
            </w:r>
          </w:p>
        </w:tc>
      </w:tr>
      <w:tr>
        <w:tc>
          <w:tcPr>
            <w:tcW w:w="5843" w:type="dxa"/>
          </w:tcPr>
          <w:tcPr/>
          <w:tcPr>
            <w:tcW w:w="584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 (разработка)</w:t>
            </w:r>
          </w:p>
        </w:tc>
        <w:tc>
          <w:tcPr>
            <w:tcW w:w="3756" w:type="dxa"/>
          </w:tcPr>
          <w:tcPr/>
          <w:tcPr>
            <w:tcW w:w="375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660 000 ₽</w:t>
            </w:r>
          </w:p>
        </w:tc>
      </w:tr>
    </w:tbl>
    <w:bookmarkEnd w:id="29"/>
    <w:bookmarkStart w:id="30" w:name="roi"/>
    <w:p>
      <w:pPr>
        <w:pStyle w:val="Heading3"/>
      </w:pPr>
      <w:r>
        <w:t xml:space="preserve">10.3. ROI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863"/>
        <w:gridCol w:w="5736"/>
      </w:tblGrid>
      <w:tr>
        <w:trPr>
          <w:tblHeader w:val="on"/>
        </w:trPr>
        <w:tc>
          <w:tcPr>
            <w:tcW w:w="3863" w:type="dxa"/>
            <w:shd w:val="clear" w:color="auto" w:fill="D9E2F3"/>
          </w:tcPr>
          <w:tcPr/>
          <w:tcPr>
            <w:tcW w:w="3863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5736" w:type="dxa"/>
            <w:shd w:val="clear" w:color="auto" w:fill="D9E2F3"/>
          </w:tcPr>
          <w:tcPr/>
          <w:tcPr>
            <w:tcW w:w="573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863" w:type="dxa"/>
          </w:tcPr>
          <w:tcPr/>
          <w:tcPr>
            <w:tcW w:w="3863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5736" w:type="dxa"/>
          </w:tcPr>
          <w:tcPr/>
          <w:tcPr>
            <w:tcW w:w="5736" w:type="dxa"/>
          </w:tcPr>
          <w:p>
            <w:pPr>
              <w:pStyle w:val="Compact"/>
            </w:pPr>
            <w:r>
              <w:t xml:space="preserve">28 ч/мес (33 - 5)</w:t>
            </w:r>
          </w:p>
        </w:tc>
      </w:tr>
      <w:tr>
        <w:tc>
          <w:tcPr>
            <w:tcW w:w="3863" w:type="dxa"/>
          </w:tcPr>
          <w:tcPr/>
          <w:tcPr>
            <w:tcW w:w="3863" w:type="dxa"/>
          </w:tcPr>
          <w:p>
            <w:pPr>
              <w:pStyle w:val="Compact"/>
            </w:pPr>
            <w:r>
              <w:t xml:space="preserve">Экономия в рублях (L2, 1 190 ₽/ч)</w:t>
            </w:r>
          </w:p>
        </w:tc>
        <w:tc>
          <w:tcPr>
            <w:tcW w:w="5736" w:type="dxa"/>
          </w:tcPr>
          <w:tcPr/>
          <w:tcPr>
            <w:tcW w:w="5736" w:type="dxa"/>
          </w:tcPr>
          <w:p>
            <w:pPr>
              <w:pStyle w:val="Compact"/>
            </w:pPr>
            <w:r>
              <w:t xml:space="preserve">399 840 ₽/год</w:t>
            </w:r>
          </w:p>
        </w:tc>
      </w:tr>
      <w:tr>
        <w:tc>
          <w:tcPr>
            <w:tcW w:w="3863" w:type="dxa"/>
          </w:tcPr>
          <w:tcPr/>
          <w:tcPr>
            <w:tcW w:w="3863" w:type="dxa"/>
          </w:tcPr>
          <w:p>
            <w:pPr>
              <w:pStyle w:val="Compact"/>
            </w:pPr>
            <w:r>
              <w:t xml:space="preserve">Затраты на разработку</w:t>
            </w:r>
          </w:p>
        </w:tc>
        <w:tc>
          <w:tcPr>
            <w:tcW w:w="5736" w:type="dxa"/>
          </w:tcPr>
          <w:tcPr/>
          <w:tcPr>
            <w:tcW w:w="5736" w:type="dxa"/>
          </w:tcPr>
          <w:p>
            <w:pPr>
              <w:pStyle w:val="Compact"/>
            </w:pPr>
            <w:r>
              <w:t xml:space="preserve">660 000 ₽</w:t>
            </w:r>
          </w:p>
        </w:tc>
      </w:tr>
      <w:tr>
        <w:tc>
          <w:tcPr>
            <w:tcW w:w="3863" w:type="dxa"/>
          </w:tcPr>
          <w:tcPr/>
          <w:tcPr>
            <w:tcW w:w="3863" w:type="dxa"/>
          </w:tcPr>
          <w:p>
            <w:pPr>
              <w:pStyle w:val="Compact"/>
            </w:pPr>
            <w:r>
              <w:t xml:space="preserve">Срок окупаемости</w:t>
            </w:r>
          </w:p>
        </w:tc>
        <w:tc>
          <w:tcPr>
            <w:tcW w:w="5736" w:type="dxa"/>
          </w:tcPr>
          <w:tcPr/>
          <w:tcPr>
            <w:tcW w:w="5736" w:type="dxa"/>
          </w:tcPr>
          <w:p>
            <w:pPr>
              <w:pStyle w:val="Compact"/>
            </w:pPr>
            <w:r>
              <w:t xml:space="preserve">~20 месяцев</w:t>
            </w:r>
          </w:p>
        </w:tc>
      </w:tr>
      <w:tr>
        <w:tc>
          <w:tcPr>
            <w:tcW w:w="3863" w:type="dxa"/>
          </w:tcPr>
          <w:tcPr/>
          <w:tcPr>
            <w:tcW w:w="3863" w:type="dxa"/>
          </w:tcPr>
          <w:p>
            <w:pPr>
              <w:pStyle w:val="Compact"/>
            </w:pPr>
            <w:r>
              <w:t xml:space="preserve">Качественные benefits</w:t>
            </w:r>
          </w:p>
        </w:tc>
        <w:tc>
          <w:tcPr>
            <w:tcW w:w="5736" w:type="dxa"/>
          </w:tcPr>
          <w:tcPr/>
          <w:tcPr>
            <w:tcW w:w="5736" w:type="dxa"/>
          </w:tcPr>
          <w:p>
            <w:pPr>
              <w:pStyle w:val="Compact"/>
            </w:pPr>
            <w:r>
              <w:t xml:space="preserve">Оптимизация рекламного бюджета, рост ROI кампаний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2026-02-25</w:t>
      </w:r>
      <w:r>
        <w:t xml:space="preserve"> </w:t>
      </w:r>
      <w:r>
        <w:rPr>
          <w:i/>
          <w:iCs/>
        </w:rPr>
        <w:t xml:space="preserve">Версия: 1.0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2026-02-28T20:00:45Z</dcterms:created>
  <dcterms:modified xsi:type="dcterms:W3CDTF">2026-02-28T20:00:45Z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