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22-регуляторный-контроль"/>
    <w:p>
      <w:pPr>
        <w:pStyle w:val="Heading1"/>
      </w:pPr>
      <w:r>
        <w:t xml:space="preserve">ТЗ-22: Регуляторный контроль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722"/>
        <w:gridCol w:w="5877"/>
      </w:tblGrid>
      <w:tr>
        <w:trPr>
          <w:tblHeader w:val="on"/>
        </w:trPr>
        <w:tc>
          <w:tcPr>
            <w:tcW w:w="3722" w:type="dxa"/>
            <w:shd w:val="clear" w:color="auto" w:fill="D9E2F3"/>
          </w:tcPr>
          <w:tcPr/>
          <w:tcPr>
            <w:tcW w:w="372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877" w:type="dxa"/>
            <w:shd w:val="clear" w:color="auto" w:fill="D9E2F3"/>
          </w:tcPr>
          <w:tcPr/>
          <w:tcPr>
            <w:tcW w:w="587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TZ-22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AUTO-047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Волна 2 — Критические процессы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</w:tr>
      <w:tr>
        <w:tc>
          <w:tcPr>
            <w:tcW w:w="3722" w:type="dxa"/>
          </w:tcPr>
          <w:tcPr/>
          <w:tcPr>
            <w:tcW w:w="37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5877" w:type="dxa"/>
          </w:tcPr>
          <w:tcPr/>
          <w:tcPr>
            <w:tcW w:w="5877" w:type="dxa"/>
          </w:tcPr>
          <w:p>
            <w:pPr>
              <w:pStyle w:val="Compact"/>
            </w:pPr>
            <w:r>
              <w:t xml:space="preserve">8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AUTO-047: Автоматизация compliance-мониторинга</w:t>
      </w:r>
      <w:r>
        <w:t xml:space="preserve"> </w:t>
      </w:r>
      <w:r>
        <w:t xml:space="preserve">- Ручной мониторинг изменений в законодательстве (туризм, финансы)</w:t>
      </w:r>
      <w:r>
        <w:t xml:space="preserve"> </w:t>
      </w:r>
      <w:r>
        <w:t xml:space="preserve">- Время выполнения: 8 ч/мес</w:t>
      </w:r>
      <w:r>
        <w:t xml:space="preserve"> </w:t>
      </w:r>
      <w:r>
        <w:t xml:space="preserve">- Риск пропуска важных изменений</w:t>
      </w:r>
    </w:p>
    <w:bookmarkEnd w:id="10"/>
    <w:bookmarkStart w:id="11" w:name="детализация-проблемы"/>
    <w:p>
      <w:pPr>
        <w:pStyle w:val="Heading3"/>
      </w:pPr>
      <w:r>
        <w:t xml:space="preserve">2.2. Детализация проблемы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Источники регуляторных изменений:</w:t>
      </w:r>
    </w:p>
    <w:p>
      <w:pPr>
        <w:pStyle w:val="Compact"/>
        <w:numPr>
          <w:ilvl w:val="1"/>
          <w:numId w:val="1002"/>
        </w:numPr>
      </w:pPr>
      <w:r>
        <w:t xml:space="preserve">ФЗ о туристской деятельности</w:t>
      </w:r>
    </w:p>
    <w:p>
      <w:pPr>
        <w:pStyle w:val="Compact"/>
        <w:numPr>
          <w:ilvl w:val="1"/>
          <w:numId w:val="1002"/>
        </w:numPr>
      </w:pPr>
      <w:r>
        <w:t xml:space="preserve">Требования Роспотребнадзора</w:t>
      </w:r>
    </w:p>
    <w:p>
      <w:pPr>
        <w:pStyle w:val="Compact"/>
        <w:numPr>
          <w:ilvl w:val="1"/>
          <w:numId w:val="1002"/>
        </w:numPr>
      </w:pPr>
      <w:r>
        <w:t xml:space="preserve">Изменения в ФНС (налоговый учёт)</w:t>
      </w:r>
    </w:p>
    <w:p>
      <w:pPr>
        <w:pStyle w:val="Compact"/>
        <w:numPr>
          <w:ilvl w:val="1"/>
          <w:numId w:val="1002"/>
        </w:numPr>
      </w:pPr>
      <w:r>
        <w:t xml:space="preserve">Требования Турпомощи</w:t>
      </w:r>
    </w:p>
    <w:p>
      <w:pPr>
        <w:pStyle w:val="Compact"/>
        <w:numPr>
          <w:ilvl w:val="1"/>
          <w:numId w:val="1002"/>
        </w:numPr>
      </w:pPr>
      <w:r>
        <w:t xml:space="preserve">ЕФРТА (реестр турагентов)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Текущий процесс:</w:t>
      </w:r>
    </w:p>
    <w:p>
      <w:pPr>
        <w:pStyle w:val="Compact"/>
        <w:numPr>
          <w:ilvl w:val="1"/>
          <w:numId w:val="1003"/>
        </w:numPr>
      </w:pPr>
      <w:r>
        <w:t xml:space="preserve">Ручной просмотр сайтов регуляторов</w:t>
      </w:r>
    </w:p>
    <w:p>
      <w:pPr>
        <w:pStyle w:val="Compact"/>
        <w:numPr>
          <w:ilvl w:val="1"/>
          <w:numId w:val="1003"/>
        </w:numPr>
      </w:pPr>
      <w:r>
        <w:t xml:space="preserve">Подписка на рассылки (не всегда полные)</w:t>
      </w:r>
    </w:p>
    <w:p>
      <w:pPr>
        <w:pStyle w:val="Compact"/>
        <w:numPr>
          <w:ilvl w:val="1"/>
          <w:numId w:val="1003"/>
        </w:numPr>
      </w:pPr>
      <w:r>
        <w:t xml:space="preserve">Консультации с юристами по запросу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Риски:</w:t>
      </w:r>
    </w:p>
    <w:p>
      <w:pPr>
        <w:pStyle w:val="Compact"/>
        <w:numPr>
          <w:ilvl w:val="1"/>
          <w:numId w:val="1004"/>
        </w:numPr>
      </w:pPr>
      <w:r>
        <w:t xml:space="preserve">Штрафы за несоблюдение требований</w:t>
      </w:r>
    </w:p>
    <w:p>
      <w:pPr>
        <w:pStyle w:val="Compact"/>
        <w:numPr>
          <w:ilvl w:val="1"/>
          <w:numId w:val="1004"/>
        </w:numPr>
      </w:pPr>
      <w:r>
        <w:t xml:space="preserve">Потеря лицензии</w:t>
      </w:r>
    </w:p>
    <w:p>
      <w:pPr>
        <w:pStyle w:val="Compact"/>
        <w:numPr>
          <w:ilvl w:val="1"/>
          <w:numId w:val="1004"/>
        </w:numPr>
      </w:pPr>
      <w:r>
        <w:t xml:space="preserve">Репутационные риски</w:t>
      </w:r>
    </w:p>
    <w:bookmarkEnd w:id="11"/>
    <w:bookmarkStart w:id="12" w:name="боли-пользователей"/>
    <w:p>
      <w:pPr>
        <w:pStyle w:val="Heading3"/>
      </w:pPr>
      <w:r>
        <w:t xml:space="preserve">2.3. Боли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Юридический отдел:</w:t>
      </w:r>
      <w:r>
        <w:t xml:space="preserve"> </w:t>
      </w:r>
      <w:r>
        <w:t xml:space="preserve">Ручной мониторинг отнимает время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Руководство:</w:t>
      </w:r>
      <w:r>
        <w:t xml:space="preserve"> </w:t>
      </w:r>
      <w:r>
        <w:t xml:space="preserve">Неуверенность в полноте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Финансы:</w:t>
      </w:r>
      <w:r>
        <w:t xml:space="preserve"> </w:t>
      </w:r>
      <w:r>
        <w:t xml:space="preserve">Риск налоговых нарушений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</w:pPr>
      <w:r>
        <w:t xml:space="preserve">3. Цель (TO-BE)</w:t>
      </w:r>
    </w:p>
    <w:bookmarkStart w:id="14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Автоматический мониторинг</w:t>
      </w:r>
      <w:r>
        <w:t xml:space="preserve"> </w:t>
      </w:r>
      <w:r>
        <w:t xml:space="preserve">— парсинг источников регуляторных изменений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Алерты об изменениях</w:t>
      </w:r>
      <w:r>
        <w:t xml:space="preserve"> </w:t>
      </w:r>
      <w:r>
        <w:t xml:space="preserve">— уведомления о релевантных изменениях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Чеклист compliance</w:t>
      </w:r>
      <w:r>
        <w:t xml:space="preserve"> </w:t>
      </w:r>
      <w:r>
        <w:t xml:space="preserve">— статус соответствия требованиям</w:t>
      </w:r>
    </w:p>
    <w:bookmarkEnd w:id="14"/>
    <w:bookmarkStart w:id="15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00"/>
        <w:gridCol w:w="1846"/>
        <w:gridCol w:w="1292"/>
        <w:gridCol w:w="1661"/>
      </w:tblGrid>
      <w:tr>
        <w:trPr>
          <w:tblHeader w:val="on"/>
        </w:trPr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846" w:type="dxa"/>
            <w:shd w:val="clear" w:color="auto" w:fill="D9E2F3"/>
          </w:tcPr>
          <w:tcPr/>
          <w:tcPr>
            <w:tcW w:w="1846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292" w:type="dxa"/>
            <w:shd w:val="clear" w:color="auto" w:fill="D9E2F3"/>
          </w:tcPr>
          <w:tcPr/>
          <w:tcPr>
            <w:tcW w:w="1292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661" w:type="dxa"/>
            <w:shd w:val="clear" w:color="auto" w:fill="D9E2F3"/>
          </w:tcPr>
          <w:tcPr/>
          <w:tcPr>
            <w:tcW w:w="1661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Ручной мониторинг</w:t>
            </w:r>
          </w:p>
        </w:tc>
        <w:tc>
          <w:tcPr>
            <w:tcW w:w="1846" w:type="dxa"/>
          </w:tcPr>
          <w:tcPr/>
          <w:tcPr>
            <w:tcW w:w="1846" w:type="dxa"/>
          </w:tcPr>
          <w:p>
            <w:pPr>
              <w:pStyle w:val="Compact"/>
            </w:pPr>
            <w:r>
              <w:t xml:space="preserve">8 ч/мес</w:t>
            </w:r>
          </w:p>
        </w:tc>
        <w:tc>
          <w:tcPr>
            <w:tcW w:w="1292" w:type="dxa"/>
          </w:tcPr>
          <w:tcPr/>
          <w:tcPr>
            <w:tcW w:w="1292" w:type="dxa"/>
          </w:tcPr>
          <w:p>
            <w:pPr>
              <w:pStyle w:val="Compact"/>
            </w:pPr>
            <w:r>
              <w:t xml:space="preserve">2 ч/мес</w:t>
            </w:r>
          </w:p>
        </w:tc>
        <w:tc>
          <w:tcPr>
            <w:tcW w:w="1661" w:type="dxa"/>
          </w:tcPr>
          <w:tcPr/>
          <w:tcPr>
            <w:tcW w:w="1661" w:type="dxa"/>
          </w:tcPr>
          <w:p>
            <w:pPr>
              <w:pStyle w:val="Compact"/>
            </w:pPr>
            <w:r>
              <w:t xml:space="preserve">-75%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Полнота покрытия</w:t>
            </w:r>
          </w:p>
        </w:tc>
        <w:tc>
          <w:tcPr>
            <w:tcW w:w="1846" w:type="dxa"/>
          </w:tcPr>
          <w:tcPr/>
          <w:tcPr>
            <w:tcW w:w="1846" w:type="dxa"/>
          </w:tcPr>
          <w:p>
            <w:pPr>
              <w:pStyle w:val="Compact"/>
            </w:pPr>
            <w:r>
              <w:t xml:space="preserve">~70%</w:t>
            </w:r>
          </w:p>
        </w:tc>
        <w:tc>
          <w:tcPr>
            <w:tcW w:w="1292" w:type="dxa"/>
          </w:tcPr>
          <w:tcPr/>
          <w:tcPr>
            <w:tcW w:w="1292" w:type="dxa"/>
          </w:tcPr>
          <w:p>
            <w:pPr>
              <w:pStyle w:val="Compact"/>
            </w:pPr>
            <w:r>
              <w:t xml:space="preserve">&gt;95%</w:t>
            </w:r>
          </w:p>
        </w:tc>
        <w:tc>
          <w:tcPr>
            <w:tcW w:w="1661" w:type="dxa"/>
          </w:tcPr>
          <w:tcPr/>
          <w:tcPr>
            <w:tcW w:w="1661" w:type="dxa"/>
          </w:tcPr>
          <w:p>
            <w:pPr>
              <w:pStyle w:val="Compact"/>
            </w:pPr>
            <w:r>
              <w:t xml:space="preserve">+35%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Время реакции на изменения</w:t>
            </w:r>
          </w:p>
        </w:tc>
        <w:tc>
          <w:tcPr>
            <w:tcW w:w="1846" w:type="dxa"/>
          </w:tcPr>
          <w:tcPr/>
          <w:tcPr>
            <w:tcW w:w="1846" w:type="dxa"/>
          </w:tcPr>
          <w:p>
            <w:pPr>
              <w:pStyle w:val="Compact"/>
            </w:pPr>
            <w:r>
              <w:t xml:space="preserve">1-2 недели</w:t>
            </w:r>
          </w:p>
        </w:tc>
        <w:tc>
          <w:tcPr>
            <w:tcW w:w="1292" w:type="dxa"/>
          </w:tcPr>
          <w:tcPr/>
          <w:tcPr>
            <w:tcW w:w="1292" w:type="dxa"/>
          </w:tcPr>
          <w:p>
            <w:pPr>
              <w:pStyle w:val="Compact"/>
            </w:pPr>
            <w:r>
              <w:t xml:space="preserve">1-3 дня</w:t>
            </w:r>
          </w:p>
        </w:tc>
        <w:tc>
          <w:tcPr>
            <w:tcW w:w="1661" w:type="dxa"/>
          </w:tcPr>
          <w:tcPr/>
          <w:tcPr>
            <w:tcW w:w="1661" w:type="dxa"/>
          </w:tcPr>
          <w:p>
            <w:pPr>
              <w:pStyle w:val="Compact"/>
            </w:pPr>
            <w:r>
              <w:t xml:space="preserve">-80%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</w:pPr>
      <w:r>
        <w:t xml:space="preserve">4. Объём работ</w:t>
      </w:r>
    </w:p>
    <w:bookmarkStart w:id="17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8"/>
        <w:gridCol w:w="3740"/>
        <w:gridCol w:w="5111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740" w:type="dxa"/>
            <w:shd w:val="clear" w:color="auto" w:fill="D9E2F3"/>
          </w:tcPr>
          <w:tcPr/>
          <w:tcPr>
            <w:tcW w:w="3740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5111" w:type="dxa"/>
            <w:shd w:val="clear" w:color="auto" w:fill="D9E2F3"/>
          </w:tcPr>
          <w:tcPr/>
          <w:tcPr>
            <w:tcW w:w="511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Парсер регуляторных источников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Мониторинг сайтов госорганов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Фильтрация по релевантности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Отбор изменений, касающихся туризма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Система алертов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Email/Telegram уведомления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База изменений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История всех релевантных изменений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Чеклист compliance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Статус соответствия по каждому требованию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Календарь дедлайнов</w:t>
            </w:r>
          </w:p>
        </w:tc>
        <w:tc>
          <w:tcPr>
            <w:tcW w:w="5111" w:type="dxa"/>
          </w:tcPr>
          <w:tcPr/>
          <w:tcPr>
            <w:tcW w:w="5111" w:type="dxa"/>
          </w:tcPr>
          <w:p>
            <w:pPr>
              <w:pStyle w:val="Compact"/>
            </w:pPr>
            <w:r>
              <w:t xml:space="preserve">Сроки вступления в силу, отчётности</w:t>
            </w:r>
          </w:p>
        </w:tc>
      </w:tr>
    </w:tbl>
    <w:bookmarkEnd w:id="17"/>
    <w:bookmarkStart w:id="18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7"/>
        </w:numPr>
      </w:pPr>
      <w:r>
        <w:t xml:space="preserve">Юридическая экспертиза изменений (только мониторинг)</w:t>
      </w:r>
    </w:p>
    <w:p>
      <w:pPr>
        <w:pStyle w:val="Compact"/>
        <w:numPr>
          <w:ilvl w:val="0"/>
          <w:numId w:val="1007"/>
        </w:numPr>
      </w:pPr>
      <w:r>
        <w:t xml:space="preserve">Автоматическое внесение изменений в документы</w:t>
      </w:r>
    </w:p>
    <w:p>
      <w:pPr>
        <w:pStyle w:val="Compact"/>
        <w:numPr>
          <w:ilvl w:val="0"/>
          <w:numId w:val="1007"/>
        </w:numPr>
      </w:pPr>
      <w:r>
        <w:t xml:space="preserve">Взаимодействие с регуляторами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20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57"/>
        <w:gridCol w:w="3961"/>
        <w:gridCol w:w="1980"/>
      </w:tblGrid>
      <w:tr>
        <w:trPr>
          <w:tblHeader w:val="on"/>
        </w:trPr>
        <w:tc>
          <w:tcPr>
            <w:tcW w:w="3657" w:type="dxa"/>
            <w:shd w:val="clear" w:color="auto" w:fill="D9E2F3"/>
          </w:tcPr>
          <w:tcPr/>
          <w:tcPr>
            <w:tcW w:w="3657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3961" w:type="dxa"/>
            <w:shd w:val="clear" w:color="auto" w:fill="D9E2F3"/>
          </w:tcPr>
          <w:tcPr/>
          <w:tcPr>
            <w:tcW w:w="3961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1980" w:type="dxa"/>
            <w:shd w:val="clear" w:color="auto" w:fill="D9E2F3"/>
          </w:tcPr>
          <w:tcPr/>
          <w:tcPr>
            <w:tcW w:w="1980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publication.pravo.gov.ru</w:t>
            </w:r>
          </w:p>
        </w:tc>
        <w:tc>
          <w:tcPr>
            <w:tcW w:w="3961" w:type="dxa"/>
          </w:tcPr>
          <w:tcPr/>
          <w:tcPr>
            <w:tcW w:w="3961" w:type="dxa"/>
          </w:tcPr>
          <w:p>
            <w:pPr>
              <w:pStyle w:val="Compact"/>
            </w:pPr>
            <w:r>
              <w:t xml:space="preserve">Федеральные законы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RSS / парсинг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Роспотребнадзор</w:t>
            </w:r>
          </w:p>
        </w:tc>
        <w:tc>
          <w:tcPr>
            <w:tcW w:w="3961" w:type="dxa"/>
          </w:tcPr>
          <w:tcPr/>
          <w:tcPr>
            <w:tcW w:w="3961" w:type="dxa"/>
          </w:tcPr>
          <w:p>
            <w:pPr>
              <w:pStyle w:val="Compact"/>
            </w:pPr>
            <w:r>
              <w:t xml:space="preserve">Требования к туроператорам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Парсинг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ФНС</w:t>
            </w:r>
          </w:p>
        </w:tc>
        <w:tc>
          <w:tcPr>
            <w:tcW w:w="3961" w:type="dxa"/>
          </w:tcPr>
          <w:tcPr/>
          <w:tcPr>
            <w:tcW w:w="3961" w:type="dxa"/>
          </w:tcPr>
          <w:p>
            <w:pPr>
              <w:pStyle w:val="Compact"/>
            </w:pPr>
            <w:r>
              <w:t xml:space="preserve">Налоговые изменения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RSS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Турпомощь</w:t>
            </w:r>
          </w:p>
        </w:tc>
        <w:tc>
          <w:tcPr>
            <w:tcW w:w="3961" w:type="dxa"/>
          </w:tcPr>
          <w:tcPr/>
          <w:tcPr>
            <w:tcW w:w="3961" w:type="dxa"/>
          </w:tcPr>
          <w:p>
            <w:pPr>
              <w:pStyle w:val="Compact"/>
            </w:pPr>
            <w:r>
              <w:t xml:space="preserve">Требования к реестру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Парсинг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ЕФРТА</w:t>
            </w:r>
          </w:p>
        </w:tc>
        <w:tc>
          <w:tcPr>
            <w:tcW w:w="3961" w:type="dxa"/>
          </w:tcPr>
          <w:tcPr/>
          <w:tcPr>
            <w:tcW w:w="3961" w:type="dxa"/>
          </w:tcPr>
          <w:p>
            <w:pPr>
              <w:pStyle w:val="Compact"/>
            </w:pPr>
            <w:r>
              <w:t xml:space="preserve">Изменения в реестре</w:t>
            </w:r>
          </w:p>
        </w:tc>
        <w:tc>
          <w:tcPr>
            <w:tcW w:w="1980" w:type="dxa"/>
          </w:tcPr>
          <w:tcPr/>
          <w:tcPr>
            <w:tcW w:w="1980" w:type="dxa"/>
          </w:tcPr>
          <w:p>
            <w:pPr>
              <w:pStyle w:val="Compact"/>
            </w:pPr>
            <w:r>
              <w:t xml:space="preserve">API</w:t>
            </w:r>
          </w:p>
        </w:tc>
      </w:tr>
    </w:tbl>
    <w:bookmarkEnd w:id="20"/>
    <w:bookmarkStart w:id="21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79"/>
        <w:gridCol w:w="3622"/>
        <w:gridCol w:w="2898"/>
      </w:tblGrid>
      <w:tr>
        <w:trPr>
          <w:tblHeader w:val="on"/>
        </w:trPr>
        <w:tc>
          <w:tcPr>
            <w:tcW w:w="3079" w:type="dxa"/>
            <w:shd w:val="clear" w:color="auto" w:fill="D9E2F3"/>
          </w:tcPr>
          <w:tcPr/>
          <w:tcPr>
            <w:tcW w:w="3079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3622" w:type="dxa"/>
            <w:shd w:val="clear" w:color="auto" w:fill="D9E2F3"/>
          </w:tcPr>
          <w:tcPr/>
          <w:tcPr>
            <w:tcW w:w="3622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898" w:type="dxa"/>
            <w:shd w:val="clear" w:color="auto" w:fill="D9E2F3"/>
          </w:tcPr>
          <w:tcPr/>
          <w:tcPr>
            <w:tcW w:w="2898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Юридический отдел</w:t>
            </w:r>
          </w:p>
        </w:tc>
        <w:tc>
          <w:tcPr>
            <w:tcW w:w="3622" w:type="dxa"/>
          </w:tcPr>
          <w:tcPr/>
          <w:tcPr>
            <w:tcW w:w="3622" w:type="dxa"/>
          </w:tcPr>
          <w:p>
            <w:pPr>
              <w:pStyle w:val="Compact"/>
            </w:pPr>
            <w:r>
              <w:t xml:space="preserve">Алерты об изменениях</w:t>
            </w:r>
          </w:p>
        </w:tc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Email / Telegram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Руководство</w:t>
            </w:r>
          </w:p>
        </w:tc>
        <w:tc>
          <w:tcPr>
            <w:tcW w:w="3622" w:type="dxa"/>
          </w:tcPr>
          <w:tcPr/>
          <w:tcPr>
            <w:tcW w:w="3622" w:type="dxa"/>
          </w:tcPr>
          <w:p>
            <w:pPr>
              <w:pStyle w:val="Compact"/>
            </w:pPr>
            <w:r>
              <w:t xml:space="preserve">Статус compliance</w:t>
            </w:r>
          </w:p>
        </w:tc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Дашборд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Финансы</w:t>
            </w:r>
          </w:p>
        </w:tc>
        <w:tc>
          <w:tcPr>
            <w:tcW w:w="3622" w:type="dxa"/>
          </w:tcPr>
          <w:tcPr/>
          <w:tcPr>
            <w:tcW w:w="3622" w:type="dxa"/>
          </w:tcPr>
          <w:p>
            <w:pPr>
              <w:pStyle w:val="Compact"/>
            </w:pPr>
            <w:r>
              <w:t xml:space="preserve">Календарь отчётности</w:t>
            </w:r>
          </w:p>
        </w:tc>
        <w:tc>
          <w:tcPr>
            <w:tcW w:w="2898" w:type="dxa"/>
          </w:tcPr>
          <w:tcPr/>
          <w:tcPr>
            <w:tcW w:w="2898" w:type="dxa"/>
          </w:tcPr>
          <w:p>
            <w:pPr>
              <w:pStyle w:val="Compact"/>
            </w:pPr>
            <w:r>
              <w:t xml:space="preserve">Outlook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3" w:name="источники-мониторинга"/>
    <w:p>
      <w:pPr>
        <w:pStyle w:val="Heading3"/>
      </w:pPr>
      <w:r>
        <w:t xml:space="preserve">6.1. Источники мониторинга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485"/>
        <w:gridCol w:w="1600"/>
        <w:gridCol w:w="2514"/>
      </w:tblGrid>
      <w:tr>
        <w:trPr>
          <w:tblHeader w:val="on"/>
        </w:trPr>
        <w:tc>
          <w:tcPr>
            <w:tcW w:w="5485" w:type="dxa"/>
            <w:shd w:val="clear" w:color="auto" w:fill="D9E2F3"/>
          </w:tcPr>
          <w:tcPr/>
          <w:tcPr>
            <w:tcW w:w="5485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1600" w:type="dxa"/>
            <w:shd w:val="clear" w:color="auto" w:fill="D9E2F3"/>
          </w:tcPr>
          <w:tcPr/>
          <w:tcPr>
            <w:tcW w:w="1600" w:type="dxa"/>
            <w:shd w:val="clear" w:color="auto" w:fill="D9E2F3"/>
          </w:tcPr>
          <w:p>
            <w:pPr>
              <w:pStyle w:val="Compact"/>
            </w:pPr>
            <w:r>
              <w:t xml:space="preserve">Метод</w:t>
            </w:r>
          </w:p>
        </w:tc>
        <w:tc>
          <w:tcPr>
            <w:tcW w:w="2514" w:type="dxa"/>
            <w:shd w:val="clear" w:color="auto" w:fill="D9E2F3"/>
          </w:tcPr>
          <w:tcPr/>
          <w:tcPr>
            <w:tcW w:w="2514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publication.pravo.gov.ru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RSS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rospotrebnadzor.ru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Парсинг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nalog.gov.ru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RSS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tourpom.ru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Парсинг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</w:tr>
      <w:tr>
        <w:tc>
          <w:tcPr>
            <w:tcW w:w="5485" w:type="dxa"/>
          </w:tcPr>
          <w:tcPr/>
          <w:tcPr>
            <w:tcW w:w="5485" w:type="dxa"/>
          </w:tcPr>
          <w:p>
            <w:pPr>
              <w:pStyle w:val="Compact"/>
            </w:pPr>
            <w:r>
              <w:t xml:space="preserve">Ростуризм</w:t>
            </w:r>
          </w:p>
        </w:tc>
        <w:tc>
          <w:tcPr>
            <w:tcW w:w="1600" w:type="dxa"/>
          </w:tcPr>
          <w:tcPr/>
          <w:tcPr>
            <w:tcW w:w="1600" w:type="dxa"/>
          </w:tcPr>
          <w:p>
            <w:pPr>
              <w:pStyle w:val="Compact"/>
            </w:pPr>
            <w:r>
              <w:t xml:space="preserve">Парсинг</w:t>
            </w:r>
          </w:p>
        </w:tc>
        <w:tc>
          <w:tcPr>
            <w:tcW w:w="2514" w:type="dxa"/>
          </w:tcPr>
          <w:tcPr/>
          <w:tcPr>
            <w:tcW w:w="2514" w:type="dxa"/>
          </w:tcPr>
          <w:p>
            <w:pPr>
              <w:pStyle w:val="Compact"/>
            </w:pPr>
            <w:r>
              <w:t xml:space="preserve">Еженедельно</w:t>
            </w:r>
          </w:p>
        </w:tc>
      </w:tr>
    </w:tbl>
    <w:bookmarkEnd w:id="23"/>
    <w:bookmarkStart w:id="24" w:name="ключевые-слова-для-фильтрации"/>
    <w:p>
      <w:pPr>
        <w:pStyle w:val="Heading3"/>
      </w:pPr>
      <w:r>
        <w:t xml:space="preserve">6.2. Ключевые слова для фильтрации</w:t>
      </w:r>
    </w:p>
    <w:p>
      <w:pPr>
        <w:pStyle w:val="SourceCode"/>
      </w:pPr>
      <w:r>
        <w:rPr>
          <w:rStyle w:val="VerbatimChar"/>
        </w:rPr>
        <w:t xml:space="preserve">туризм, туроператор, турагент, туристская деятельность,</w:t>
      </w:r>
      <w:r>
        <w:br/>
      </w:r>
      <w:r>
        <w:rPr>
          <w:rStyle w:val="VerbatimChar"/>
        </w:rPr>
        <w:t xml:space="preserve">финансовое обеспечение, фингарантии, страхование туристов,</w:t>
      </w:r>
      <w:r>
        <w:br/>
      </w:r>
      <w:r>
        <w:rPr>
          <w:rStyle w:val="VerbatimChar"/>
        </w:rPr>
        <w:t xml:space="preserve">реестр туроператоров, электронная путёвка</w:t>
      </w:r>
    </w:p>
    <w:bookmarkEnd w:id="24"/>
    <w:bookmarkStart w:id="25" w:name="нефункциональные-требования"/>
    <w:p>
      <w:pPr>
        <w:pStyle w:val="Heading3"/>
      </w:pPr>
      <w:r>
        <w:t xml:space="preserve">6.3.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646"/>
        <w:gridCol w:w="2953"/>
      </w:tblGrid>
      <w:tr>
        <w:trPr>
          <w:tblHeader w:val="on"/>
        </w:trPr>
        <w:tc>
          <w:tcPr>
            <w:tcW w:w="6646" w:type="dxa"/>
            <w:shd w:val="clear" w:color="auto" w:fill="D9E2F3"/>
          </w:tcPr>
          <w:tcPr/>
          <w:tcPr>
            <w:tcW w:w="664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2953" w:type="dxa"/>
            <w:shd w:val="clear" w:color="auto" w:fill="D9E2F3"/>
          </w:tcPr>
          <w:tcPr/>
          <w:tcPr>
            <w:tcW w:w="295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Задержка обнаружения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&lt; 24 часа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Полнота покрытия источников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&gt; 95%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Хранение истории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5 лет</w:t>
            </w:r>
          </w:p>
        </w:tc>
      </w:tr>
      <w:tr>
        <w:tc>
          <w:tcPr>
            <w:tcW w:w="6646" w:type="dxa"/>
          </w:tcPr>
          <w:tcPr/>
          <w:tcPr>
            <w:tcW w:w="6646" w:type="dxa"/>
          </w:tcPr>
          <w:p>
            <w:pPr>
              <w:pStyle w:val="Compact"/>
            </w:pPr>
            <w:r>
              <w:t xml:space="preserve">Доступность системы</w:t>
            </w:r>
          </w:p>
        </w:tc>
        <w:tc>
          <w:tcPr>
            <w:tcW w:w="2953" w:type="dxa"/>
          </w:tcPr>
          <w:tcPr/>
          <w:tcPr>
            <w:tcW w:w="2953" w:type="dxa"/>
          </w:tcPr>
          <w:p>
            <w:pPr>
              <w:pStyle w:val="Compact"/>
            </w:pPr>
            <w:r>
              <w:t xml:space="preserve">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59"/>
        <w:gridCol w:w="4325"/>
        <w:gridCol w:w="949"/>
        <w:gridCol w:w="1265"/>
      </w:tblGrid>
      <w:tr>
        <w:trPr>
          <w:tblHeader w:val="on"/>
        </w:trPr>
        <w:tc>
          <w:tcPr>
            <w:tcW w:w="3059" w:type="dxa"/>
            <w:shd w:val="clear" w:color="auto" w:fill="D9E2F3"/>
          </w:tcPr>
          <w:tcPr/>
          <w:tcPr>
            <w:tcW w:w="3059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4325" w:type="dxa"/>
            <w:shd w:val="clear" w:color="auto" w:fill="D9E2F3"/>
          </w:tcPr>
          <w:tcPr/>
          <w:tcPr>
            <w:tcW w:w="4325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949" w:type="dxa"/>
            <w:shd w:val="clear" w:color="auto" w:fill="D9E2F3"/>
          </w:tcPr>
          <w:tcPr/>
          <w:tcPr>
            <w:tcW w:w="949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265" w:type="dxa"/>
            <w:shd w:val="clear" w:color="auto" w:fill="D9E2F3"/>
          </w:tcPr>
          <w:tcPr/>
          <w:tcPr>
            <w:tcW w:w="1265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1. Анализ источников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Инвентаризация, приоритизация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15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2. Парсеры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Разработка парсеров для каждого источника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50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3. Фильтрация и классификация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Алгоритм отбора релевантных изменений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30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4. Система алертов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Настройка уведомлений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15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5. Чеклист compliance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Интерфейс, логика статусов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30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t xml:space="preserve">6. Тестирование и запуск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  <w:r>
              <w:t xml:space="preserve">Верификация, документация</w:t>
            </w: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t xml:space="preserve">1 неделя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t xml:space="preserve">10 ч</w:t>
            </w:r>
          </w:p>
        </w:tc>
      </w:tr>
      <w:tr>
        <w:tc>
          <w:tcPr>
            <w:tcW w:w="3059" w:type="dxa"/>
          </w:tcPr>
          <w:tcPr/>
          <w:tcPr>
            <w:tcW w:w="305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4325" w:type="dxa"/>
          </w:tcPr>
          <w:tcPr/>
          <w:tcPr>
            <w:tcW w:w="4325" w:type="dxa"/>
          </w:tcPr>
          <w:p>
            <w:pPr>
              <w:pStyle w:val="Compact"/>
            </w:pPr>
          </w:p>
        </w:tc>
        <w:tc>
          <w:tcPr>
            <w:tcW w:w="949" w:type="dxa"/>
          </w:tcPr>
          <w:tcPr/>
          <w:tcPr>
            <w:tcW w:w="94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 недель</w:t>
            </w:r>
          </w:p>
        </w:tc>
        <w:tc>
          <w:tcPr>
            <w:tcW w:w="1265" w:type="dxa"/>
          </w:tcPr>
          <w:tcPr/>
          <w:tcPr>
            <w:tcW w:w="12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150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8"/>
        <w:gridCol w:w="5437"/>
        <w:gridCol w:w="3413"/>
      </w:tblGrid>
      <w:tr>
        <w:trPr>
          <w:tblHeader w:val="on"/>
        </w:trPr>
        <w:tc>
          <w:tcPr>
            <w:tcW w:w="748" w:type="dxa"/>
            <w:shd w:val="clear" w:color="auto" w:fill="D9E2F3"/>
          </w:tcPr>
          <w:tcPr/>
          <w:tcPr>
            <w:tcW w:w="748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437" w:type="dxa"/>
            <w:shd w:val="clear" w:color="auto" w:fill="D9E2F3"/>
          </w:tcPr>
          <w:tcPr/>
          <w:tcPr>
            <w:tcW w:w="5437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3413" w:type="dxa"/>
            <w:shd w:val="clear" w:color="auto" w:fill="D9E2F3"/>
          </w:tcPr>
          <w:tcPr/>
          <w:tcPr>
            <w:tcW w:w="3413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437" w:type="dxa"/>
          </w:tcPr>
          <w:tcPr/>
          <w:tcPr>
            <w:tcW w:w="5437" w:type="dxa"/>
          </w:tcPr>
          <w:p>
            <w:pPr>
              <w:pStyle w:val="Compact"/>
            </w:pPr>
            <w:r>
              <w:t xml:space="preserve">Изменения обнаруживаются в течение 24 часов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Тест с известным изменением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437" w:type="dxa"/>
          </w:tcPr>
          <w:tcPr/>
          <w:tcPr>
            <w:tcW w:w="5437" w:type="dxa"/>
          </w:tcPr>
          <w:p>
            <w:pPr>
              <w:pStyle w:val="Compact"/>
            </w:pPr>
            <w:r>
              <w:t xml:space="preserve">Фильтрация отсекает нерелевантное &gt;90%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Анализ 100 записей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437" w:type="dxa"/>
          </w:tcPr>
          <w:tcPr/>
          <w:tcPr>
            <w:tcW w:w="5437" w:type="dxa"/>
          </w:tcPr>
          <w:p>
            <w:pPr>
              <w:pStyle w:val="Compact"/>
            </w:pPr>
            <w:r>
              <w:t xml:space="preserve">Алерты доставляются корректно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Проверка 10 уведомлений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437" w:type="dxa"/>
          </w:tcPr>
          <w:tcPr/>
          <w:tcPr>
            <w:tcW w:w="5437" w:type="dxa"/>
          </w:tcPr>
          <w:p>
            <w:pPr>
              <w:pStyle w:val="Compact"/>
            </w:pPr>
            <w:r>
              <w:t xml:space="preserve">Чеклист отражает текущий статус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Сверка с юристом</w:t>
            </w:r>
          </w:p>
        </w:tc>
      </w:tr>
      <w:tr>
        <w:tc>
          <w:tcPr>
            <w:tcW w:w="748" w:type="dxa"/>
          </w:tcPr>
          <w:tcPr/>
          <w:tcPr>
            <w:tcW w:w="748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437" w:type="dxa"/>
          </w:tcPr>
          <w:tcPr/>
          <w:tcPr>
            <w:tcW w:w="5437" w:type="dxa"/>
          </w:tcPr>
          <w:p>
            <w:pPr>
              <w:pStyle w:val="Compact"/>
            </w:pPr>
            <w:r>
              <w:t xml:space="preserve">Календарь содержит все дедлайны</w:t>
            </w:r>
          </w:p>
        </w:tc>
        <w:tc>
          <w:tcPr>
            <w:tcW w:w="3413" w:type="dxa"/>
          </w:tcPr>
          <w:tcPr/>
          <w:tcPr>
            <w:tcW w:w="3413" w:type="dxa"/>
          </w:tcPr>
          <w:p>
            <w:pPr>
              <w:pStyle w:val="Compact"/>
            </w:pPr>
            <w:r>
              <w:t xml:space="preserve">Сверка с известными сроками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760"/>
        <w:gridCol w:w="1088"/>
        <w:gridCol w:w="791"/>
        <w:gridCol w:w="3958"/>
      </w:tblGrid>
      <w:tr>
        <w:trPr>
          <w:tblHeader w:val="on"/>
        </w:trPr>
        <w:tc>
          <w:tcPr>
            <w:tcW w:w="3760" w:type="dxa"/>
            <w:shd w:val="clear" w:color="auto" w:fill="D9E2F3"/>
          </w:tcPr>
          <w:tcPr/>
          <w:tcPr>
            <w:tcW w:w="3760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088" w:type="dxa"/>
            <w:shd w:val="clear" w:color="auto" w:fill="D9E2F3"/>
          </w:tcPr>
          <w:tcPr/>
          <w:tcPr>
            <w:tcW w:w="1088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91" w:type="dxa"/>
            <w:shd w:val="clear" w:color="auto" w:fill="D9E2F3"/>
          </w:tcPr>
          <w:tcPr/>
          <w:tcPr>
            <w:tcW w:w="791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958" w:type="dxa"/>
            <w:shd w:val="clear" w:color="auto" w:fill="D9E2F3"/>
          </w:tcPr>
          <w:tcPr/>
          <w:tcPr>
            <w:tcW w:w="3958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3760" w:type="dxa"/>
          </w:tcPr>
          <w:tcPr/>
          <w:tcPr>
            <w:tcW w:w="3760" w:type="dxa"/>
          </w:tcPr>
          <w:p>
            <w:pPr>
              <w:pStyle w:val="Compact"/>
            </w:pPr>
            <w:r>
              <w:t xml:space="preserve">Изменение структуры сайтов регуляторов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3958" w:type="dxa"/>
          </w:tcPr>
          <w:tcPr/>
          <w:tcPr>
            <w:tcW w:w="3958" w:type="dxa"/>
          </w:tcPr>
          <w:p>
            <w:pPr>
              <w:pStyle w:val="Compact"/>
            </w:pPr>
            <w:r>
              <w:t xml:space="preserve">Модульные парсеры, мониторинг</w:t>
            </w:r>
          </w:p>
        </w:tc>
      </w:tr>
      <w:tr>
        <w:tc>
          <w:tcPr>
            <w:tcW w:w="3760" w:type="dxa"/>
          </w:tcPr>
          <w:tcPr/>
          <w:tcPr>
            <w:tcW w:w="3760" w:type="dxa"/>
          </w:tcPr>
          <w:p>
            <w:pPr>
              <w:pStyle w:val="Compact"/>
            </w:pPr>
            <w:r>
              <w:t xml:space="preserve">Ложные срабатывания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Низкое</w:t>
            </w:r>
          </w:p>
        </w:tc>
        <w:tc>
          <w:tcPr>
            <w:tcW w:w="3958" w:type="dxa"/>
          </w:tcPr>
          <w:tcPr/>
          <w:tcPr>
            <w:tcW w:w="3958" w:type="dxa"/>
          </w:tcPr>
          <w:p>
            <w:pPr>
              <w:pStyle w:val="Compact"/>
            </w:pPr>
            <w:r>
              <w:t xml:space="preserve">Настройка фильтров, обратная связь</w:t>
            </w:r>
          </w:p>
        </w:tc>
      </w:tr>
      <w:tr>
        <w:tc>
          <w:tcPr>
            <w:tcW w:w="3760" w:type="dxa"/>
          </w:tcPr>
          <w:tcPr/>
          <w:tcPr>
            <w:tcW w:w="3760" w:type="dxa"/>
          </w:tcPr>
          <w:p>
            <w:pPr>
              <w:pStyle w:val="Compact"/>
            </w:pPr>
            <w:r>
              <w:t xml:space="preserve">Пропуск важного изменения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958" w:type="dxa"/>
          </w:tcPr>
          <w:tcPr/>
          <w:tcPr>
            <w:tcW w:w="3958" w:type="dxa"/>
          </w:tcPr>
          <w:p>
            <w:pPr>
              <w:pStyle w:val="Compact"/>
            </w:pPr>
            <w:r>
              <w:t xml:space="preserve">Множественные источники, ручной контроль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</w:pPr>
      <w:r>
        <w:t xml:space="preserve">10. Оценка</w:t>
      </w:r>
    </w:p>
    <w:bookmarkStart w:id="30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22"/>
        <w:gridCol w:w="1777"/>
      </w:tblGrid>
      <w:tr>
        <w:trPr>
          <w:tblHeader w:val="on"/>
        </w:trPr>
        <w:tc>
          <w:tcPr>
            <w:tcW w:w="7822" w:type="dxa"/>
            <w:shd w:val="clear" w:color="auto" w:fill="D9E2F3"/>
          </w:tcPr>
          <w:tcPr/>
          <w:tcPr>
            <w:tcW w:w="7822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777" w:type="dxa"/>
            <w:shd w:val="clear" w:color="auto" w:fill="D9E2F3"/>
          </w:tcPr>
          <w:tcPr/>
          <w:tcPr>
            <w:tcW w:w="1777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Аналитик (юридический)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Разработчик backend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822" w:type="dxa"/>
          </w:tcPr>
          <w:tcPr/>
          <w:tcPr>
            <w:tcW w:w="782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777" w:type="dxa"/>
          </w:tcPr>
          <w:tcPr/>
          <w:tcPr>
            <w:tcW w:w="177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150 ч</w:t>
            </w:r>
          </w:p>
        </w:tc>
      </w:tr>
    </w:tbl>
    <w:bookmarkEnd w:id="30"/>
    <w:bookmarkStart w:id="31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20"/>
        <w:gridCol w:w="2880"/>
      </w:tblGrid>
      <w:tr>
        <w:trPr>
          <w:tblHeader w:val="on"/>
        </w:trPr>
        <w:tc>
          <w:tcPr>
            <w:tcW w:w="6720" w:type="dxa"/>
            <w:shd w:val="clear" w:color="auto" w:fill="D9E2F3"/>
          </w:tcPr>
          <w:tcPr/>
          <w:tcPr>
            <w:tcW w:w="6720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Разработка (150 ч × 3 000 ₽)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450 000 ₽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Серверы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~2 000 ₽/мес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450 000 ₽</w:t>
            </w:r>
          </w:p>
        </w:tc>
      </w:tr>
    </w:tbl>
    <w:bookmarkEnd w:id="31"/>
    <w:bookmarkStart w:id="32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683"/>
        <w:gridCol w:w="5916"/>
      </w:tblGrid>
      <w:tr>
        <w:trPr>
          <w:tblHeader w:val="on"/>
        </w:trPr>
        <w:tc>
          <w:tcPr>
            <w:tcW w:w="3683" w:type="dxa"/>
            <w:shd w:val="clear" w:color="auto" w:fill="D9E2F3"/>
          </w:tcPr>
          <w:tcPr/>
          <w:tcPr>
            <w:tcW w:w="3683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916" w:type="dxa"/>
            <w:shd w:val="clear" w:color="auto" w:fill="D9E2F3"/>
          </w:tcPr>
          <w:tcPr/>
          <w:tcPr>
            <w:tcW w:w="591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683" w:type="dxa"/>
          </w:tcPr>
          <w:tcPr/>
          <w:tcPr>
            <w:tcW w:w="3683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5916" w:type="dxa"/>
          </w:tcPr>
          <w:tcPr/>
          <w:tcPr>
            <w:tcW w:w="5916" w:type="dxa"/>
          </w:tcPr>
          <w:p>
            <w:pPr>
              <w:pStyle w:val="Compact"/>
            </w:pPr>
            <w:r>
              <w:t xml:space="preserve">6 ч/мес (8 - 2)</w:t>
            </w:r>
          </w:p>
        </w:tc>
      </w:tr>
      <w:tr>
        <w:tc>
          <w:tcPr>
            <w:tcW w:w="3683" w:type="dxa"/>
          </w:tcPr>
          <w:tcPr/>
          <w:tcPr>
            <w:tcW w:w="3683" w:type="dxa"/>
          </w:tcPr>
          <w:p>
            <w:pPr>
              <w:pStyle w:val="Compact"/>
            </w:pPr>
            <w:r>
              <w:t xml:space="preserve">Экономия в рублях (L2, 1 190 ₽/ч)</w:t>
            </w:r>
          </w:p>
        </w:tc>
        <w:tc>
          <w:tcPr>
            <w:tcW w:w="5916" w:type="dxa"/>
          </w:tcPr>
          <w:tcPr/>
          <w:tcPr>
            <w:tcW w:w="5916" w:type="dxa"/>
          </w:tcPr>
          <w:p>
            <w:pPr>
              <w:pStyle w:val="Compact"/>
            </w:pPr>
            <w:r>
              <w:t xml:space="preserve">85 680 ₽/год</w:t>
            </w:r>
          </w:p>
        </w:tc>
      </w:tr>
      <w:tr>
        <w:tc>
          <w:tcPr>
            <w:tcW w:w="3683" w:type="dxa"/>
          </w:tcPr>
          <w:tcPr/>
          <w:tcPr>
            <w:tcW w:w="3683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5916" w:type="dxa"/>
          </w:tcPr>
          <w:tcPr/>
          <w:tcPr>
            <w:tcW w:w="5916" w:type="dxa"/>
          </w:tcPr>
          <w:p>
            <w:pPr>
              <w:pStyle w:val="Compact"/>
            </w:pPr>
            <w:r>
              <w:t xml:space="preserve">450 000 ₽</w:t>
            </w:r>
          </w:p>
        </w:tc>
      </w:tr>
      <w:tr>
        <w:tc>
          <w:tcPr>
            <w:tcW w:w="3683" w:type="dxa"/>
          </w:tcPr>
          <w:tcPr/>
          <w:tcPr>
            <w:tcW w:w="3683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5916" w:type="dxa"/>
          </w:tcPr>
          <w:tcPr/>
          <w:tcPr>
            <w:tcW w:w="5916" w:type="dxa"/>
          </w:tcPr>
          <w:p>
            <w:pPr>
              <w:pStyle w:val="Compact"/>
            </w:pPr>
            <w:r>
              <w:t xml:space="preserve">~63 месяца</w:t>
            </w:r>
          </w:p>
        </w:tc>
      </w:tr>
      <w:tr>
        <w:tc>
          <w:tcPr>
            <w:tcW w:w="3683" w:type="dxa"/>
          </w:tcPr>
          <w:tcPr/>
          <w:tcPr>
            <w:tcW w:w="3683" w:type="dxa"/>
          </w:tcPr>
          <w:p>
            <w:pPr>
              <w:pStyle w:val="Compact"/>
            </w:pPr>
            <w:r>
              <w:t xml:space="preserve">Качественные benefits</w:t>
            </w:r>
          </w:p>
        </w:tc>
        <w:tc>
          <w:tcPr>
            <w:tcW w:w="5916" w:type="dxa"/>
          </w:tcPr>
          <w:tcPr/>
          <w:tcPr>
            <w:tcW w:w="5916" w:type="dxa"/>
          </w:tcPr>
          <w:p>
            <w:pPr>
              <w:pStyle w:val="Compact"/>
            </w:pPr>
            <w:r>
              <w:t xml:space="preserve">Снижение регуляторных рисков, своевременная адаптация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2026-02-28T20:00:46Z</dcterms:created>
  <dcterms:modified xsi:type="dcterms:W3CDTF">2026-02-28T20:00:46Z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