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тз-20-тендеры-и-dmc-партнёры"/>
    <w:p>
      <w:pPr>
        <w:pStyle w:val="Heading1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ТЗ-20: Тендеры и DMC-партнёры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Версия: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1.0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Дата: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Статус: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Планируется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Волна: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4 (Развитие)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bCs/>
          <w:sz w:val="18"/>
        </w:rPr>
        <w:t>Владелец: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Питуркин С. А. (MICE)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Start w:id="9" w:name="мета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1. Метаданные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Параметр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ID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TZ-20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Название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 и DMC-партнёры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Приоритет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Средний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Категория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Автоматизация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AUTO-точки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AUTO-030, AUTO-042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Затронутые отделы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MICE, Продуктовый отдел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9"/>
    <w:bookmarkStart w:id="13" w:name="проблема-as-is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2. Проблема (AS-IS)</w:t>
      </w:r>
    </w:p>
    <w:bookmarkStart w:id="10" w:name="текуще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2.1. Текущее состояние</w: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AUTO-030: Автоматизация подачи на тендеры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Ручной мониторинг тендерных площадок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11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Пропуск релевантных тендеров из-за нехватки времени</w:t>
      </w:r>
    </w:p>
    <w:p>
      <w:pPr>
        <w:pStyle w:val="BodyText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AUTO-042: Автоматизация работы с DMC-партнёрами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Ручной запрос цен и условий у DMC (принимающих компаний)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Время выполнения: 9 ч/мес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- Долгое ожидание ответов, ручное сравнение предложений</w:t>
      </w:r>
    </w:p>
    <w:bookmarkEnd w:id="10"/>
    <w:bookmarkStart w:id="11" w:name="детализация-проблем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2.2. Детализация проблемы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Тендеры: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5+ тендерных площадок для мониторинга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~50 релевантных тендеров в месяц</w:t>
      </w:r>
    </w:p>
    <w:p>
      <w:pPr>
        <w:pStyle w:val="Compact"/>
        <w:numPr>
          <w:ilvl w:val="1"/>
          <w:numId w:val="1002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Подготовка документации на каждый: 2-3 часа</w:t>
      </w:r>
    </w:p>
    <w:p>
      <w:pPr>
        <w:pStyle w:val="Compact"/>
        <w:numPr>
          <w:ilvl w:val="0"/>
          <w:numId w:val="1001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DMC-партнёры: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30+ активных DMC в разных странах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Запрос цен: email, мессенджеры, звонки</w:t>
      </w:r>
    </w:p>
    <w:p>
      <w:pPr>
        <w:pStyle w:val="Compact"/>
        <w:numPr>
          <w:ilvl w:val="1"/>
          <w:numId w:val="1003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Нет единой базы условий и цен</w:t>
      </w:r>
    </w:p>
    <w:bookmarkEnd w:id="11"/>
    <w:bookmarkStart w:id="12" w:name="боли-пользователей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2.3. Боли пользователей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MICE-менеджеры: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Рутинный мониторинг вместо работы с клиентами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Продуктовый отдел: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Долгий сбор информации от DMC</w:t>
      </w:r>
    </w:p>
    <w:p>
      <w:pPr>
        <w:pStyle w:val="Compact"/>
        <w:numPr>
          <w:ilvl w:val="0"/>
          <w:numId w:val="1004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Руководство: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Упущенные тендеры = упущенная выручка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2"/>
    <w:bookmarkEnd w:id="13"/>
    <w:bookmarkStart w:id="16" w:name="цель-to-be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3. Цель (TO-BE)</w:t>
      </w:r>
    </w:p>
    <w:bookmarkStart w:id="14" w:name="целевое-состояни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3.1. Целевое состояние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Автомониторинг тендеров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алерты о релевантных тендерах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База DMC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единый справочник с условиями и контактами</w:t>
      </w:r>
    </w:p>
    <w:p>
      <w:pPr>
        <w:pStyle w:val="Compact"/>
        <w:numPr>
          <w:ilvl w:val="0"/>
          <w:numId w:val="1005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bCs/>
          <w:sz w:val="18"/>
        </w:rPr>
        <w:t>Шаблоны запросов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sz w:val="18"/>
        </w:rPr>
        <w:t>— автоматическая рассылка запросов DMC</w:t>
      </w:r>
    </w:p>
    <w:bookmarkEnd w:id="14"/>
    <w:bookmarkStart w:id="15" w:name="ожидаемые-результ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3.2. Ожидаемые результаты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Метрика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AS-IS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TO-BE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Улучшение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тендеров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11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-73%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Работа с DMC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9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-67%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20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 ч/мес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-70%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5"/>
    <w:bookmarkEnd w:id="16"/>
    <w:bookmarkStart w:id="19" w:name="объём-работ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4. Объём работ</w:t>
      </w:r>
    </w:p>
    <w:bookmarkStart w:id="17" w:name="включено-в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4.1. Включено в ТЗ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Компонент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Описание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Парсер тендерных площадок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zakupki. gov. ru, B2B-Center и др.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Фильтрация по критериям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Отбор релевантных тендеров (туризм, MICE)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 тендерах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Email/Telegram уведомления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DMC-партнёров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Справочник с контактами, условиями, историей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запросов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Автогенерация писем с запросом цен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Сравнение предложений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Таблица сравнения ответов DMC</w:t>
            </w:r>
          </w:p>
        </w:tc>
      </w:tr>
    </w:tbl>
    <w:bookmarkEnd w:id="17"/>
    <w:bookmarkStart w:id="18" w:name="исключено-из-тз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4.2. Исключено из ТЗ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Автоматическая подача заявок на тендеры (только мониторинг)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Интеграция с ЭЦП (электронная подпись)</w:t>
      </w:r>
    </w:p>
    <w:p>
      <w:pPr>
        <w:pStyle w:val="Compact"/>
        <w:numPr>
          <w:ilvl w:val="0"/>
          <w:numId w:val="1006"/>
        </w:num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t>Автоматические переговоры с DMC</w:t>
      </w:r>
    </w:p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18"/>
    <w:bookmarkEnd w:id="19"/>
    <w:bookmarkStart w:id="22" w:name="входные-и-выходные-данные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5. Входные и выходные данные</w:t>
      </w:r>
    </w:p>
    <w:bookmarkStart w:id="20" w:name="в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5.1. Входные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Источник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zakupki. gov.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Тендеры госзакупок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парсинг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B2B-Center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Коммерческие тендеры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парсинг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DMC-партнёры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Условия, цены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/ Excel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CRM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Исторические сделки с DMC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 API</w:t>
            </w:r>
          </w:p>
        </w:tc>
      </w:tr>
    </w:tbl>
    <w:bookmarkEnd w:id="20"/>
    <w:bookmarkStart w:id="21" w:name="выходные-данные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5.2. Выходные данные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Получатель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Данные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Формат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MICE-менеджеры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о тендерах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 / Telegram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Продуктовый отдел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DMC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Web-интерфейс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Руководство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Отчёт по тендерам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Excel / Дашборд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1"/>
    <w:bookmarkEnd w:id="22"/>
    <w:bookmarkStart w:id="26" w:name="технические-требован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6. Технические требования</w:t>
      </w:r>
    </w:p>
    <w:bookmarkStart w:id="23" w:name="интеграции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6.1. Интеграции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Система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Тип интеграции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zakupki. gov. ru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RSS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B2B-Center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Чтение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API / парсинг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Битрикс24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Двусторонняя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REST API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Email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Отправка запросов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SMTP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Bot API</w:t>
            </w:r>
          </w:p>
        </w:tc>
      </w:tr>
    </w:tbl>
    <w:bookmarkEnd w:id="23"/>
    <w:bookmarkStart w:id="24" w:name="критерии-фильтрации-тендеров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6.2. Критерии фильтрации тендеров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ОКПД2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79.1 (турагентства), 79.9 (прочий туризм)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Регион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Вся Россия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Сумма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&gt; 100 000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Ключевые слова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туризм, MICE, конференция, мероприятие, отдых</w:t>
            </w:r>
          </w:p>
        </w:tc>
      </w:tr>
    </w:tbl>
    <w:bookmarkEnd w:id="24"/>
    <w:bookmarkStart w:id="25" w:name="нефункциональные-требования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6.3. Нефункциональные требования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Требование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Частота проверки тендеров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Каждые 4 часа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Время доставки алерта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&lt; 30 минут после публикации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Хранение данных DMC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Бессрочно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5"/>
    <w:bookmarkEnd w:id="26"/>
    <w:bookmarkStart w:id="27" w:name="план-реализаци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7. План реализации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Фаза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Задачи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Срок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Трудозатраты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1. Анализ требований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Критерии фильтрации, структура базы DMC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2. Парсер тендеров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Подключение площадок, фильтрация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3. Система алертов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Уведомления, настройки пользователей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4. База DMC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Структура, интерфейс, импорт данных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5. Шаблоны запросов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Генерация писем, отправка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 недели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6. Тестирование и запуск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Пилот, обучение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 неделя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20 ч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12 недель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220 ч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7"/>
    <w:bookmarkStart w:id="28" w:name="критерии-приёмки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8. Критерии приёмки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3591"/>
        <w:gridCol w:w="3591"/>
        <w:gridCol w:w="3591"/>
      </w:tblGrid>
      <w:tr>
        <w:trPr>
          <w:tblHeader w:val="on"/>
        </w:trPr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#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Критерий</w:t>
            </w:r>
          </w:p>
        </w:tc>
        <w:tc>
          <w:tcPr>
            <w:tcW w:w="3591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Метод проверки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Релевантные тендеры выявляются в течение 4 часов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Мониторинг 2 недели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2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Фильтрация отсекает нерелевантные тендеры &gt;90%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Анализ 100 тендеров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База DMC содержит все активные партнёрства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Сверка с текущим списком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Шаблоны запросов отправляются корректно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Тест 20 запросов</w:t>
            </w:r>
          </w:p>
        </w:tc>
      </w:tr>
      <w:tr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5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Алерты доставляются в Telegram</w:t>
            </w:r>
          </w:p>
        </w:tc>
        <w:tc>
          <w:tcPr>
            <w:tcW w:w="3591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Проверка 10 уведомлений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8"/>
    <w:bookmarkStart w:id="29" w:name="риски-и-митигация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9. Риски и митигация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693"/>
        <w:gridCol w:w="2693"/>
        <w:gridCol w:w="2693"/>
        <w:gridCol w:w="2693"/>
      </w:tblGrid>
      <w:tr>
        <w:trPr>
          <w:tblHeader w:val="on"/>
        </w:trPr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Риск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Вероятность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Влияние</w:t>
            </w:r>
          </w:p>
        </w:tc>
        <w:tc>
          <w:tcPr>
            <w:tcW w:w="2693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Митигация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Изменение структуры тендерных площадок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Среднее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Модульная архитектура парсера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Блокировка парсинга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Низкая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Высокое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Соблюдение robots. txt, API где возможно</w:t>
            </w:r>
          </w:p>
        </w:tc>
      </w:tr>
      <w:tr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Неполнота данных DMC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Средняя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Низкое</w:t>
            </w:r>
          </w:p>
        </w:tc>
        <w:tc>
          <w:tcPr>
            <w:tcW w:w="2693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Постепенное наполнение, обратная связь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bookmarkEnd w:id="29"/>
    <w:bookmarkStart w:id="33" w:name="оценка"/>
    <w:p>
      <w:pPr>
        <w:pStyle w:val="Heading2"/>
        <w:spacing w:line="240" w:lineRule="auto" w:before="60" w:after="120"/>
        <w:ind w:right="0" w:firstLine="0" w:left="360"/>
      </w:pPr>
      <w:r>
        <w:rPr>
          <w:rFonts w:ascii="Tahoma" w:hAnsi="Tahoma" w:cs="Tahoma" w:eastAsia="Tahoma"/>
          <w:b/>
          <w:color w:val="003399"/>
          <w:sz w:val="32"/>
        </w:rPr>
        <w:t>10. Оценка</w:t>
      </w:r>
    </w:p>
    <w:bookmarkStart w:id="30" w:name="трудозатраты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10.1. Трудозатраты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Роль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Часы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Аналитик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40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backend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Разработчик frontend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30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QA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10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220 ч</w:t>
            </w:r>
          </w:p>
        </w:tc>
      </w:tr>
    </w:tbl>
    <w:bookmarkEnd w:id="30"/>
    <w:bookmarkStart w:id="31" w:name="стоимость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10.2. Стоимость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Статья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Сумма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Разработка (220 ч × 3 000 ₽)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Серверы / облако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~5 000 ₽/мес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ИТОГО (разработка)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bCs/>
                <w:sz w:val="18"/>
              </w:rPr>
              <w:t>660 000 ₽</w:t>
            </w:r>
          </w:p>
        </w:tc>
      </w:tr>
    </w:tbl>
    <w:bookmarkEnd w:id="31"/>
    <w:bookmarkStart w:id="32" w:name="roi"/>
    <w:p>
      <w:pPr>
        <w:pStyle w:val="Heading3"/>
        <w:spacing w:line="240" w:lineRule="auto" w:before="60" w:after="120"/>
        <w:ind w:right="0" w:firstLine="0" w:left="0"/>
      </w:pPr>
      <w:r>
        <w:rPr>
          <w:rFonts w:ascii="Tahoma" w:hAnsi="Tahoma" w:cs="Tahoma" w:eastAsia="Tahoma"/>
          <w:b/>
          <w:color w:val="003399"/>
          <w:sz w:val="32"/>
        </w:rPr>
        <w:t>10.3. ROI</w:t>
      </w:r>
    </w:p>
    <w:tbl>
      <w:tblPr>
        <w:tblStyle w:val="Table"/>
        <w:tblLook w:firstRow="1" w:lastRow="0" w:firstColumn="0" w:lastColumn="0" w:noHBand="0" w:noVBand="0" w:val="0020"/>
        <w:tblInd w:w="0" w:type="dxa"/>
        <w:tblW w:type="dxa" w:w="10773"/>
        <w:tblCellSpacing w:w="0" w:type="dxa"/>
        <w:tblCellMar>
          <w:top w:w="28" w:type="dxa"/>
          <w:left w:w="28" w:type="dxa"/>
          <w:bottom w:w="28" w:type="dxa"/>
          <w:right w:w="28" w:type="dxa"/>
        </w:tblCellMar>
        <w:tblLayout w:type="fixed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5386"/>
        <w:gridCol w:w="5386"/>
      </w:tblGrid>
      <w:tr>
        <w:trPr>
          <w:tblHeader w:val="on"/>
        </w:trPr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Показатель</w:t>
            </w:r>
          </w:p>
        </w:tc>
        <w:tc>
          <w:tcPr>
            <w:tcW w:w="5386" w:type="dxa"/>
            <w:shd w:val="clear" w:color="auto" w:fill="B8CCE4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/>
                <w:sz w:val="18"/>
              </w:rPr>
              <w:t>Значение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времени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14 ч/мес (20 - 6)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Экономия в рублях (L2, 1 190 ₽/ч)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199 920 ₽/год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Затраты на разработку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660 000 ₽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Срок окупаемости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~40 месяцев</w:t>
            </w:r>
          </w:p>
        </w:tc>
      </w:tr>
      <w:tr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Качественные benefits</w:t>
            </w:r>
          </w:p>
        </w:tc>
        <w:tc>
          <w:tcPr>
            <w:tcW w:w="5386" w:type="dxa"/>
          </w:tcPr>
          <w:p>
            <w:pPr>
              <w:pStyle w:val="Compact"/>
              <w:spacing w:line="240" w:lineRule="auto" w:before="20" w:after="20"/>
              <w:ind w:left="0" w:right="0"/>
            </w:pPr>
            <w:r>
              <w:rPr>
                <w:rFonts w:ascii="Tahoma" w:hAnsi="Tahoma" w:cs="Tahoma" w:eastAsia="Tahoma"/>
                <w:b w:val="0"/>
                <w:sz w:val="18"/>
              </w:rPr>
              <w:t>Больше выигранных тендеров, быстрее ответы клиентам</w:t>
            </w:r>
          </w:p>
        </w:tc>
      </w:tr>
    </w:tbl>
    <w:p>
      <w:pPr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sz w:val="18"/>
        </w:rPr>
        <w:pict>
          <v:rect style="width:0;height:1.5pt" o:hralign="center" o:hrstd="t" o:hr="t"/>
        </w:pict>
      </w:r>
    </w:p>
    <w:p>
      <w:pPr>
        <w:pStyle w:val="FirstParagraph"/>
        <w:spacing w:line="240" w:lineRule="auto" w:before="0" w:after="40"/>
        <w:ind w:right="0" w:firstLine="0" w:left="0"/>
      </w:pPr>
      <w:r>
        <w:rPr>
          <w:rFonts w:ascii="Tahoma" w:hAnsi="Tahoma" w:cs="Tahoma" w:eastAsia="Tahoma"/>
          <w:b w:val="0"/>
          <w:i/>
          <w:iCs/>
          <w:sz w:val="18"/>
        </w:rPr>
        <w:t>Документ создан: 2026-02-25</w:t>
      </w:r>
      <w:r>
        <w:rPr>
          <w:rFonts w:ascii="Tahoma" w:hAnsi="Tahoma" w:cs="Tahoma" w:eastAsia="Tahoma"/>
          <w:b w:val="0"/>
          <w:sz w:val="18"/>
        </w:rPr>
        <w:t xml:space="preserve"> </w:t>
      </w:r>
      <w:r>
        <w:rPr>
          <w:rFonts w:ascii="Tahoma" w:hAnsi="Tahoma" w:cs="Tahoma" w:eastAsia="Tahoma"/>
          <w:b w:val="0"/>
          <w:i/>
          <w:iCs/>
          <w:sz w:val="18"/>
        </w:rPr>
        <w:t>Версия: 1.0</w:t>
      </w:r>
    </w:p>
    <w:bookmarkEnd w:id="32"/>
    <w:bookmarkEnd w:id="33"/>
    <w:bookmarkEnd w:id="34"/>
    <w:sectPr>
      <w:footerReference w:type="default" r:id="rId9"/>
      <w:footnotePr>
        <w:numRestart w:val="eachSect"/>
      </w:footnotePr>
      <w:pgSz w:w="11906" w:h="16838"/>
      <w:pgMar w:top="567" w:bottom="850" w:left="567" w:right="56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ahoma" w:hAnsi="Tahoma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2026-02-25T13:05:00Z</dcterms:created>
  <dcterms:modified xsi:type="dcterms:W3CDTF">2026-02-25T13:05:00Z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