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smart-цели-отделов-space-travel-l2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SMART-цели отделов Space Travel (L2)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2. 0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2026-02-16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bCs/>
          <w:sz w:val="18"/>
        </w:rPr>
        <w:t>Всего: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52 цели (37 отделов, 15 новых)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15" w:name="X0d3b4fb1646197a101cb1e1358345895afdc5a0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развития взаимодействия с агентствами (L1-01)</w:t>
      </w:r>
    </w:p>
    <w:bookmarkStart w:id="9" w:name="Xac85a1b251d4407b00f177fe2fc789975df316d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L2-01: Управление по развитию региональных офисов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Осипов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Выполнение плана продаж по 8 региональным офисам 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 плана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L2-01-G2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агентов с выручкой &gt;1 млн = 35% по каждому офису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</w:t>
            </w:r>
          </w:p>
        </w:tc>
      </w:tr>
    </w:tbl>
    <w:bookmarkEnd w:id="9"/>
    <w:bookmarkStart w:id="10" w:name="l2-02-офис-г-екатеринбург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L2-02: Офис г. Екатеринбург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Попова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+18%, +25 новых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+18%, 25 агентов</w:t>
            </w:r>
          </w:p>
        </w:tc>
      </w:tr>
    </w:tbl>
    <w:bookmarkEnd w:id="10"/>
    <w:bookmarkStart w:id="11" w:name="l2-03-офис-г-казан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L2-03: Офис г. Казань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Гришина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L2-03-G1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+20%, +30 новых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+20%, 30 агентов</w:t>
            </w:r>
          </w:p>
        </w:tc>
      </w:tr>
    </w:tbl>
    <w:bookmarkEnd w:id="11"/>
    <w:bookmarkStart w:id="12" w:name="Xee5c5e1b625cc521f6898fec3da5ac71db39f53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L2-10: Отдел по работе с ключевыми клиентами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Редин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L2-10-G1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Доля выручки от ТОП-100 агентов = 40%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L2-10-G2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Просроченная ДЗ ключевых агентов = 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0%</w:t>
            </w:r>
          </w:p>
        </w:tc>
      </w:tr>
    </w:tbl>
    <w:bookmarkEnd w:id="12"/>
    <w:bookmarkStart w:id="13" w:name="l2-11-группа-по-привлечению-агентст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L2-11: Группа по привлечению агентств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Вальпуцкий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Привлечь 200 новых активных агентов, конверсия ≥25%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200 агентов, ≥25%</w:t>
            </w:r>
          </w:p>
        </w:tc>
      </w:tr>
    </w:tbl>
    <w:bookmarkEnd w:id="13"/>
    <w:bookmarkStart w:id="14" w:name="l2-37-travelluxe-казахстан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L2-37: Travelluxe (Казахстан)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Демина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L2-37-G1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+25%, +30 активных агентов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+25%, 30 агентов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4"/>
    <w:bookmarkEnd w:id="15"/>
    <w:bookmarkStart w:id="22" w:name="Xe1c81b1f277ede367f946c8884ba46142486d71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по управлению операционными доходами (L1-02)</w:t>
      </w:r>
    </w:p>
    <w:bookmarkStart w:id="16" w:name="l2-12-отдел-продукта--ближний-восток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L2-12: Отдел продукта — Ближний Восток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Андреева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 п. п.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L2-12-G2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альтернативных направления с долей ≥3%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направления</w:t>
            </w:r>
          </w:p>
        </w:tc>
      </w:tr>
    </w:tbl>
    <w:bookmarkEnd w:id="16"/>
    <w:bookmarkStart w:id="17" w:name="l2-13-отдел-продукта--экзотик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L2-13: Отдел продукта — Экзотика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Цехович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+2, 5 п. п.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+2, 5 п. п.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L2-13-G2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новых направления/год, TTM ≤45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2/год, ≤45 дней</w:t>
            </w:r>
          </w:p>
        </w:tc>
      </w:tr>
    </w:tbl>
    <w:bookmarkEnd w:id="17"/>
    <w:bookmarkStart w:id="18" w:name="l2-14-отдел-продукта--fit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L2-14: Отдел продукта — FIT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Писцова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L2-14-G1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+1, 5 п. п.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+1, 5 п. п.</w:t>
            </w:r>
          </w:p>
        </w:tc>
      </w:tr>
    </w:tbl>
    <w:bookmarkEnd w:id="18"/>
    <w:bookmarkStart w:id="19" w:name="l2-15-отдел-продукта--юв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L2-15: Отдел продукта — ЮВА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Черепова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Маржинальность +2 п. п.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 п. п.</w:t>
            </w:r>
          </w:p>
        </w:tc>
      </w:tr>
    </w:tbl>
    <w:bookmarkEnd w:id="19"/>
    <w:bookmarkStart w:id="20" w:name="l2-16-группа-тарифик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L2-16: Группа тарификации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Ильясова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L2-16-G1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Точность расчёта цен 99%, публикация за 2 часа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99%, ≤2ч</w:t>
            </w:r>
          </w:p>
        </w:tc>
      </w:tr>
    </w:tbl>
    <w:bookmarkEnd w:id="20"/>
    <w:bookmarkStart w:id="21" w:name="l2-17-чартерная-групп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L2-17: Чартерная группа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Зайцев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L2-17-G1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Загрузка чартеров 92%, материализация 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92%, 95%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6" w:name="X23a0670c4127afc5b35730469da63e5d928639b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MICE и корпоративного обслуживания (L1-03)</w:t>
      </w:r>
    </w:p>
    <w:bookmarkStart w:id="23" w:name="l2-18-отдел-mice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L2-18: Отдел MICE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L2-18-G1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MICE +35% (108 млн), +30 корп.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108 млн, 30 клиентов</w:t>
            </w:r>
          </w:p>
        </w:tc>
      </w:tr>
    </w:tbl>
    <w:bookmarkEnd w:id="23"/>
    <w:bookmarkStart w:id="24" w:name="l2-19-отдел-въездного-туризм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L2-19: Отдел въездного туризма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L2-19-G1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Incoming +25%, +15 партнёров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+25%, 15 партнёров</w:t>
            </w:r>
          </w:p>
        </w:tc>
      </w:tr>
    </w:tbl>
    <w:bookmarkEnd w:id="24"/>
    <w:bookmarkStart w:id="25" w:name="l2-22-отдел-бизнес-трев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L2-22: Отдел бизнес-тревел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Пашин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Выручка BT +30%, +20 корп. клиентов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+30%, 20 клиентов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33" w:name="операционный-департамент-l1-05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Операционный департамент (L1-05)</w:t>
      </w:r>
    </w:p>
    <w:bookmarkStart w:id="27" w:name="l2-20-группа-визового-сопровожде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L2-20: Группа визового сопровождения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L2-20-G1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Успешность виз 98%, срок ≤5 дней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98%, ≤5 дней</w:t>
            </w:r>
          </w:p>
        </w:tc>
      </w:tr>
    </w:tbl>
    <w:bookmarkEnd w:id="27"/>
    <w:bookmarkStart w:id="28" w:name="l2-21-отдел-группового-брон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L2-21: Отдел группового бронирования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Коломина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групповых запросов 35%, ответ ≤4ч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35%, ≤4ч</w:t>
            </w:r>
          </w:p>
        </w:tc>
      </w:tr>
    </w:tbl>
    <w:bookmarkEnd w:id="28"/>
    <w:bookmarkStart w:id="29" w:name="l2-23-вип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L2-23: ВИП-отдел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Нурумова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NPS VIP-клиентов +70, допродажи 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+70, 20%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L2-23-G2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RPR VIP-клиентов 50%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50%</w:t>
            </w:r>
          </w:p>
        </w:tc>
      </w:tr>
    </w:tbl>
    <w:bookmarkEnd w:id="29"/>
    <w:bookmarkStart w:id="30" w:name="l2-24-транспортный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L2-24: Транспортный 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Боканова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L2-24-G1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выписки 100%, ошибки &lt;0, 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&lt;0, 5%</w:t>
            </w:r>
          </w:p>
        </w:tc>
      </w:tr>
    </w:tbl>
    <w:bookmarkEnd w:id="30"/>
    <w:bookmarkStart w:id="31" w:name="l2-25-отдел-бронир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L2-25: Отдел бронирования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Загородняя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запросов 32%, ответ ≤2ч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32%, ≤2ч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L2-25-G2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до брони ≤20ч, уведомления 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≤20ч, 100%</w:t>
            </w:r>
          </w:p>
        </w:tc>
      </w:tr>
    </w:tbl>
    <w:bookmarkEnd w:id="31"/>
    <w:bookmarkStart w:id="32" w:name="l2-26-отдел-продаж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L2-26: Отдел продаж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Преображенская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L2-26-G1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Конверсия +5 п. п., средний чек +10%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 п. п., +10%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L2-26-G2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CES &lt; 3 по всем продажам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L1-05-G4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&lt;3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2"/>
    <w:bookmarkEnd w:id="33"/>
    <w:bookmarkStart w:id="36" w:name="управление-клиентского-сервиса-l1-06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Управление клиентского сервиса (L1-06)</w:t>
      </w:r>
    </w:p>
    <w:bookmarkStart w:id="34" w:name="l2-27-отдел-клиентской-поддержк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L2-27: Отдел клиентской поддержки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Фролова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L2-27-G1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FCR 75%, CSAT 85%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75%, 85%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L2-27-G2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Post-trip охват 100%, конверсия в RPR 25%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25%</w:t>
            </w:r>
          </w:p>
        </w:tc>
      </w:tr>
    </w:tbl>
    <w:bookmarkEnd w:id="34"/>
    <w:bookmarkStart w:id="35" w:name="l2-28-отдел-247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L2-28: Отдел 24/7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Акопова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L2-28-G1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ответа ≤30 сек, решение 80% срочных за 1ч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L1-06-G1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≤30 сек, 80%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5"/>
    <w:bookmarkEnd w:id="36"/>
    <w:bookmarkStart w:id="40" w:name="департамент-маркетинга-и-рекламы-l1-09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Департамент маркетинга и рекламы (L1-09)</w:t>
      </w:r>
    </w:p>
    <w:bookmarkStart w:id="37" w:name="l2-29-отдел-рекла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L2-29: Отдел рекламы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Колдаева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L2-29-G1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Партнёрские бюджеты 25 млн, 30+ соглашений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L1-09-G2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25 млн, &gt;30</w:t>
            </w:r>
          </w:p>
        </w:tc>
      </w:tr>
    </w:tbl>
    <w:bookmarkEnd w:id="37"/>
    <w:bookmarkStart w:id="38" w:name="l2-30-отдел-контент-маркет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L2-30: Отдел контент-маркетинга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Седых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L2-30-G1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Охват B2B-рассылок 50K, конверсия 3%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50K, 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L2-30-G2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Органический трафик +50% через SEO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+50%</w:t>
            </w:r>
          </w:p>
        </w:tc>
      </w:tr>
    </w:tbl>
    <w:bookmarkEnd w:id="38"/>
    <w:bookmarkStart w:id="39" w:name="l2-31-отдел-маркетинг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L2-31: Отдел маркетинга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Четверик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L2-31-G1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RoiStat 100% каналов, CPL -20%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-20%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L2-31-G2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Прямые онлайн-продажи 10%, CAC &lt;3500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L1-09-G4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10%, &lt;3500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39"/>
    <w:bookmarkEnd w:id="40"/>
    <w:bookmarkStart w:id="46" w:name="финансовый-департамент-l1-08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Финансовый департамент (L1-08)</w:t>
      </w:r>
    </w:p>
    <w:bookmarkStart w:id="41" w:name="l2-32-бухгалтерия-группы-компани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L2-32: Бухгалтерия группы компаний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Волкова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L2-32-G1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Закрытие месяца за 5 дней, 0 ошибок в налоговой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 дней, 0</w:t>
            </w:r>
          </w:p>
        </w:tc>
      </w:tr>
    </w:tbl>
    <w:bookmarkEnd w:id="41"/>
    <w:bookmarkStart w:id="42" w:name="l2-33-финансовый-отдел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L2-33: Финансовый отдел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Фомичев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L2-33-G1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 кассовых разрывов, точность CF 95%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0, 95%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L2-33-G2 🆕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Хеджирование ≥70% валютных обязательств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L1-08-G4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≥70%</w:t>
            </w:r>
          </w:p>
        </w:tc>
      </w:tr>
    </w:tbl>
    <w:bookmarkEnd w:id="42"/>
    <w:bookmarkStart w:id="43" w:name="l2-34-банковская-группа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L2-34: Банковская группа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Лебедева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L2-34-G1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платежей 100%, обработка за 1 день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1 день</w:t>
            </w:r>
          </w:p>
        </w:tc>
      </w:tr>
    </w:tbl>
    <w:bookmarkEnd w:id="43"/>
    <w:bookmarkStart w:id="44" w:name="Xc153630d3ff201c675bb32efa5b6d95d77bee28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L2-35: Группа по расчётам с иностранными поставщиками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Мигунова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L2-35-G1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Своевременность 100%, отклонение от курса &lt;3%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&lt;3%</w:t>
            </w:r>
          </w:p>
        </w:tc>
      </w:tr>
    </w:tbl>
    <w:bookmarkEnd w:id="44"/>
    <w:bookmarkStart w:id="45" w:name="l2-36-бухгалтер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L2-36: Бухгалтерия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Руководитель: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Соколова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ID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Цель SMART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Связь с L1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KPI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L2-36-G1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Достоверность 100%, автоматизация учёта АБ 100%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L1-08-G3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100%, 100%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45"/>
    <w:bookmarkEnd w:id="46"/>
    <w:bookmarkStart w:id="47" w:name="сводка"/>
    <w:p>
      <w:pPr>
        <w:pStyle w:val="Heading2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Сводка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Всего целей L2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Новых в v2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15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Отделов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37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Покрытие L1→L2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100%</w:t>
            </w:r>
          </w:p>
        </w:tc>
      </w:tr>
    </w:tbl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Примечание:</w:t>
      </w:r>
      <w:r>
        <w:rPr>
          <w:rFonts w:ascii="Tahoma" w:hAnsi="Tahoma" w:cs="Tahoma" w:eastAsia="Tahoma"/>
          <w:b w:val="0"/>
          <w:sz w:val="18"/>
        </w:rPr>
      </w:r>
      <w:r>
        <w:rPr>
          <w:rFonts w:ascii="Tahoma" w:hAnsi="Tahoma" w:cs="Tahoma" w:eastAsia="Tahoma"/>
          <w:b w:val="0"/>
          <w:sz w:val="18"/>
        </w:rPr>
        <w:t>HR (L1-04-G3) и IT (L1-07-G5) — плоская структура, цели реализуются командой напрямую без L2-уровня.</w:t>
      </w:r>
    </w:p>
    <w:bookmarkEnd w:id="47"/>
    <w:bookmarkEnd w:id="48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2026-02-25T08:45:43Z</dcterms:created>
  <dcterms:modified xsi:type="dcterms:W3CDTF">2026-02-25T08:45:43Z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