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bp-02-маркетинговая-кампания"/>
    <w:p>
      <w:pPr>
        <w:pStyle w:val="Heading1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BP-02: Маркетинговая кампания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Версия: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1. 0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bCs/>
          <w:sz w:val="18"/>
        </w:rPr>
        <w:t>Дата: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2026-02-17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bCs/>
          <w:sz w:val="18"/>
        </w:rPr>
        <w:t>Статус: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Описан</w:t>
      </w:r>
    </w:p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Start w:id="9" w:name="общая-информация"/>
    <w:p>
      <w:pPr>
        <w:pStyle w:val="Heading2"/>
        <w:spacing w:line="240" w:lineRule="auto" w:before="60" w:after="120"/>
        <w:ind w:right="0" w:firstLine="0" w:left="360"/>
      </w:pPr>
      <w:r>
        <w:rPr>
          <w:rFonts w:ascii="Tahoma" w:hAnsi="Tahoma" w:cs="Tahoma" w:eastAsia="Tahoma"/>
          <w:b/>
          <w:color w:val="003399"/>
          <w:sz w:val="32"/>
        </w:rPr>
        <w:t>1. Общая информация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386"/>
        <w:gridCol w:w="5386"/>
      </w:tblGrid>
      <w:tr>
        <w:trPr>
          <w:tblHeader w:val="on"/>
        </w:trPr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Параметр</w:t>
            </w:r>
          </w:p>
        </w:tc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Значение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ID процесса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BP-02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Название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Маркетинговая кампания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Владелец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Директор Департамента маркетинга (ВАКАНСИЯ)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Фактическое управление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Колдаева А. В. (Отдел рекламы), Седых (Контент), Четверик (Маркетинг)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Критичность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🟠 ВЫСОКИЙ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Влияние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Лидогенерация, узнаваемость бренда, партнёрские бюджеты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Частота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10-20 кампаний/месяц (различного масштаба)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9"/>
    <w:bookmarkStart w:id="12" w:name="границы-процесса"/>
    <w:p>
      <w:pPr>
        <w:pStyle w:val="Heading2"/>
        <w:spacing w:line="240" w:lineRule="auto" w:before="60" w:after="120"/>
        <w:ind w:right="0" w:firstLine="0" w:left="360"/>
      </w:pPr>
      <w:r>
        <w:rPr>
          <w:rFonts w:ascii="Tahoma" w:hAnsi="Tahoma" w:cs="Tahoma" w:eastAsia="Tahoma"/>
          <w:b/>
          <w:color w:val="003399"/>
          <w:sz w:val="32"/>
        </w:rPr>
        <w:t>2. Границы процесса</w:t>
      </w:r>
    </w:p>
    <w:bookmarkStart w:id="10" w:name="триггер-вход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Триггер (вход)</w:t>
      </w:r>
    </w:p>
    <w:p>
      <w:pPr>
        <w:pStyle w:val="Compact"/>
        <w:numPr>
          <w:ilvl w:val="0"/>
          <w:numId w:val="1001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Запрос партнёра на совместное мероприятие/рекламу</w:t>
      </w:r>
    </w:p>
    <w:p>
      <w:pPr>
        <w:pStyle w:val="Compact"/>
        <w:numPr>
          <w:ilvl w:val="0"/>
          <w:numId w:val="1001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Запрос от Отдела продукта на продвижение направления</w:t>
      </w:r>
    </w:p>
    <w:p>
      <w:pPr>
        <w:pStyle w:val="Compact"/>
        <w:numPr>
          <w:ilvl w:val="0"/>
          <w:numId w:val="1001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Плановая маркетинговая активность (из годового плана)</w:t>
      </w:r>
    </w:p>
    <w:p>
      <w:pPr>
        <w:pStyle w:val="Compact"/>
        <w:numPr>
          <w:ilvl w:val="0"/>
          <w:numId w:val="1001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Запуск нового продукта или направления</w:t>
      </w:r>
    </w:p>
    <w:bookmarkEnd w:id="10"/>
    <w:bookmarkStart w:id="11" w:name="результат-выход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Результат (выход)</w:t>
      </w:r>
    </w:p>
    <w:p>
      <w:pPr>
        <w:pStyle w:val="Compact"/>
        <w:numPr>
          <w:ilvl w:val="0"/>
          <w:numId w:val="1002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Проведённая кампания/мероприятие</w:t>
      </w:r>
    </w:p>
    <w:p>
      <w:pPr>
        <w:pStyle w:val="Compact"/>
        <w:numPr>
          <w:ilvl w:val="0"/>
          <w:numId w:val="1002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Привлечённые лиды (для B2C) или охват агентов (для B2B)</w:t>
      </w:r>
    </w:p>
    <w:p>
      <w:pPr>
        <w:pStyle w:val="Compact"/>
        <w:numPr>
          <w:ilvl w:val="0"/>
          <w:numId w:val="1002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Измеренный ROI (при наличии аналитики)</w:t>
      </w:r>
    </w:p>
    <w:p>
      <w:pPr>
        <w:pStyle w:val="Compact"/>
        <w:numPr>
          <w:ilvl w:val="0"/>
          <w:numId w:val="1002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Отчёт для партнёра (при партнёрской кампании)</w:t>
      </w:r>
    </w:p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11"/>
    <w:bookmarkEnd w:id="12"/>
    <w:bookmarkStart w:id="13" w:name="участники-процесса"/>
    <w:p>
      <w:pPr>
        <w:pStyle w:val="Heading2"/>
        <w:spacing w:line="240" w:lineRule="auto" w:before="60" w:after="120"/>
        <w:ind w:right="0" w:firstLine="0" w:left="360"/>
      </w:pPr>
      <w:r>
        <w:rPr>
          <w:rFonts w:ascii="Tahoma" w:hAnsi="Tahoma" w:cs="Tahoma" w:eastAsia="Tahoma"/>
          <w:b/>
          <w:color w:val="003399"/>
          <w:sz w:val="32"/>
        </w:rPr>
        <w:t>3. Участники процесса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93"/>
        <w:gridCol w:w="2693"/>
        <w:gridCol w:w="2693"/>
        <w:gridCol w:w="2693"/>
      </w:tblGrid>
      <w:tr>
        <w:trPr>
          <w:tblHeader w:val="on"/>
        </w:trPr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Роль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Подразделение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Кол-во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Ответственность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Менеджер по рекламе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Отдел рекламы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6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Организация мероприятий, работа с партнёрами, СМИ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Контент-менеджер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Отдел контент-маркетинга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8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Тексты, дизайн, email-рассылки, вебинары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Маркетолог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Отдел маркетинга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Аналитика, B2C-реклама, RoiStat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КАМ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Отдел по работе с ключевыми клиентами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—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Набор агентов на мероприятия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Региональный менеджер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Региональные офисы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—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Мероприятия в регионах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Продуктолог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Отдел продукта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—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Информация о направлении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ИТОГО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6 подразделений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18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—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13"/>
    <w:bookmarkStart w:id="18" w:name="типы-маркетинговых-кампаний"/>
    <w:p>
      <w:pPr>
        <w:pStyle w:val="Heading2"/>
        <w:spacing w:line="240" w:lineRule="auto" w:before="60" w:after="120"/>
        <w:ind w:right="0" w:firstLine="0" w:left="360"/>
      </w:pPr>
      <w:r>
        <w:rPr>
          <w:rFonts w:ascii="Tahoma" w:hAnsi="Tahoma" w:cs="Tahoma" w:eastAsia="Tahoma"/>
          <w:b/>
          <w:color w:val="003399"/>
          <w:sz w:val="32"/>
        </w:rPr>
        <w:t>4. Типы маркетинговых кампаний</w:t>
      </w:r>
    </w:p>
    <w:bookmarkStart w:id="14" w:name="мероприятия-с-партнёрами-b2b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4. 1. Мероприятия с партнёрами (B2B)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Описание: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Бизнес-завтраки, презентации отелей/направлений для агентств.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386"/>
        <w:gridCol w:w="5386"/>
      </w:tblGrid>
      <w:tr>
        <w:trPr>
          <w:tblHeader w:val="on"/>
        </w:trPr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Параметр</w:t>
            </w:r>
          </w:p>
        </w:tc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Значение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Частота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2-4 мероприятия/месяц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Бюджет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Партнёрский + собственный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Участники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30-100 агентов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Города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Москва, СПб, регионы</w:t>
            </w:r>
          </w:p>
        </w:tc>
      </w:tr>
    </w:tbl>
    <w:bookmarkEnd w:id="14"/>
    <w:bookmarkStart w:id="15" w:name="маркетинговые-соглашения-с-партнёрами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4. 2. Маркетинговые соглашения с партнёрами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Описание: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Комплекс активностей (рассылки, баннеры, вебинары) за партнёрский бюджет.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386"/>
        <w:gridCol w:w="5386"/>
      </w:tblGrid>
      <w:tr>
        <w:trPr>
          <w:tblHeader w:val="on"/>
        </w:trPr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Параметр</w:t>
            </w:r>
          </w:p>
        </w:tc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Значение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Частота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5-10 соглашений/месяц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Бюджет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100% партнёрский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Каналы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Email, сайт, соцсети</w:t>
            </w:r>
          </w:p>
        </w:tc>
      </w:tr>
    </w:tbl>
    <w:bookmarkEnd w:id="15"/>
    <w:bookmarkStart w:id="16" w:name="b2c-реклама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4. 3. B2C-реклама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Описание: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Привлечение конечных туристов через digital-каналы.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386"/>
        <w:gridCol w:w="5386"/>
      </w:tblGrid>
      <w:tr>
        <w:trPr>
          <w:tblHeader w:val="on"/>
        </w:trPr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Параметр</w:t>
            </w:r>
          </w:p>
        </w:tc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Значение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Частота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Постоянно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Бюджет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Собственный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Каналы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Контекст, SMM, SEO</w:t>
            </w:r>
          </w:p>
        </w:tc>
      </w:tr>
    </w:tbl>
    <w:bookmarkEnd w:id="16"/>
    <w:bookmarkStart w:id="17" w:name="вебинары-для-агентов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4. 4. Вебинары для агентов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Описание: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Онлайн-презентации направлений и продуктов.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386"/>
        <w:gridCol w:w="5386"/>
      </w:tblGrid>
      <w:tr>
        <w:trPr>
          <w:tblHeader w:val="on"/>
        </w:trPr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Параметр</w:t>
            </w:r>
          </w:p>
        </w:tc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Значение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Частота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4-8 вебинаров/месяц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Платформа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МТС Линк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Участники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50-200 агентов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17"/>
    <w:bookmarkEnd w:id="18"/>
    <w:bookmarkStart w:id="26" w:name="Xbe75cefaefe886af1403697c4d73e1c93e2bb66"/>
    <w:p>
      <w:pPr>
        <w:pStyle w:val="Heading2"/>
        <w:spacing w:line="240" w:lineRule="auto" w:before="60" w:after="120"/>
        <w:ind w:right="0" w:firstLine="0" w:left="360"/>
      </w:pPr>
      <w:r>
        <w:rPr>
          <w:rFonts w:ascii="Tahoma" w:hAnsi="Tahoma" w:cs="Tahoma" w:eastAsia="Tahoma"/>
          <w:b/>
          <w:color w:val="003399"/>
          <w:sz w:val="32"/>
        </w:rPr>
        <w:t>5. Этапы процесса (на примере мероприятия с партнёром)</w:t>
      </w:r>
    </w:p>
    <w:bookmarkStart w:id="19" w:name="этап-1-инициация-кампании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Этап 1: Инициация кампании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386"/>
        <w:gridCol w:w="5386"/>
      </w:tblGrid>
      <w:tr>
        <w:trPr>
          <w:tblHeader w:val="on"/>
        </w:trPr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Параметр</w:t>
            </w:r>
          </w:p>
        </w:tc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Значение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Исполнитель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Отдел рекламы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SLA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1-2 дня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Точка передачи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Внутреннее согласование</w:t>
            </w:r>
          </w:p>
        </w:tc>
      </w:tr>
    </w:tbl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Действия: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1. Получение запроса (от партнёра / руководства / плана)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2. Оценка возможностей и ресурсов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3. Подбор даты и формата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4. Предварительное согласование с КАМ/регионами</w:t>
      </w:r>
    </w:p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19"/>
    <w:bookmarkStart w:id="20" w:name="этап-2-планирование-и-поиск-подрядчиков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Этап 2: Планирование и поиск подрядчиков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386"/>
        <w:gridCol w:w="5386"/>
      </w:tblGrid>
      <w:tr>
        <w:trPr>
          <w:tblHeader w:val="on"/>
        </w:trPr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Параметр</w:t>
            </w:r>
          </w:p>
        </w:tc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Значение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Исполнитель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Отдел рекламы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SLA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3-5 дней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Точка передачи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→ Финансовый департамент (счета)</w:t>
            </w:r>
          </w:p>
        </w:tc>
      </w:tr>
    </w:tbl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Действия: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1. Поиск площадки для мероприятия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2. Подбор подрядчиков (фото, звук, ведущий, кейтеринг)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3. Формирование сметы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4. Согласование бюджета с партнёром</w:t>
      </w:r>
    </w:p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Проблемы: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- ⚠️ Несвоевременные ответы от подрядчиков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- ⚠️ Накладки по датам</w:t>
      </w:r>
    </w:p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20"/>
    <w:bookmarkStart w:id="21" w:name="этап-3-документооборот-и-согласование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Этап 3: Документооборот и согласование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386"/>
        <w:gridCol w:w="5386"/>
      </w:tblGrid>
      <w:tr>
        <w:trPr>
          <w:tblHeader w:val="on"/>
        </w:trPr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Параметр</w:t>
            </w:r>
          </w:p>
        </w:tc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Значение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Исполнитель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Отдел рекламы, Юрист, Финансовый департамент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SLA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3-5 дней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Точка передачи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→ Отдел контент-маркетинга</w:t>
            </w:r>
          </w:p>
        </w:tc>
      </w:tr>
    </w:tbl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Действия: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1. Выставление счёта партнёру (через Финансовый департамент)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2. Согласование договора с подрядчиками (через Юриста)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3. Контроль подписания документов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4. Получение оплаты от партнёра</w:t>
      </w:r>
    </w:p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Проблемы: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- ⚠️ Задержки согласования договоров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- ⚠️ Несвоевременные ответы от партнёров</w:t>
      </w:r>
    </w:p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21"/>
    <w:bookmarkStart w:id="22" w:name="этап-4-набор-участников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Этап 4: Набор участников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386"/>
        <w:gridCol w:w="5386"/>
      </w:tblGrid>
      <w:tr>
        <w:trPr>
          <w:tblHeader w:val="on"/>
        </w:trPr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Параметр</w:t>
            </w:r>
          </w:p>
        </w:tc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Значение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Исполнитель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КАМ / Региональные офисы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SLA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1-3 недели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Точка передачи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→ Отдел рекламы (списки)</w:t>
            </w:r>
          </w:p>
        </w:tc>
      </w:tr>
    </w:tbl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Действия: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1. Постановка задачи в Битрикс24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2. Рассылка приглашений агентам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3. Регистрация участников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4. Напоминания и подтверждение явки</w:t>
      </w:r>
    </w:p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Проблемы: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- ⚠️ Низкий отклик на приглашения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- ⚠️ No-show (неявка зарегистрированных)</w:t>
      </w:r>
    </w:p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22"/>
    <w:bookmarkStart w:id="23" w:name="этап-5-подготовка-контента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Этап 5: Подготовка контента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386"/>
        <w:gridCol w:w="5386"/>
      </w:tblGrid>
      <w:tr>
        <w:trPr>
          <w:tblHeader w:val="on"/>
        </w:trPr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Параметр</w:t>
            </w:r>
          </w:p>
        </w:tc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Значение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Исполнитель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Отдел контент-маркетинга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SLA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5-7 дней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Точка передачи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→ Партнёр (согласование)</w:t>
            </w:r>
          </w:p>
        </w:tc>
      </w:tr>
    </w:tbl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Действия: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1. Создание брендированных материалов (фотозона, меню, полиграфия)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2. Подготовка презентации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3. Согласование всех материалов с партнёром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4. Печать и доставка материалов</w:t>
      </w:r>
    </w:p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Проблемы: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- ⚠️ Высокая загрузка дизайнера (1 человек)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- ⚠️ Задержки согласования с партнёром</w:t>
      </w:r>
    </w:p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23"/>
    <w:bookmarkStart w:id="24" w:name="этап-6-проведение-мероприятия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Этап 6: Проведение мероприятия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386"/>
        <w:gridCol w:w="5386"/>
      </w:tblGrid>
      <w:tr>
        <w:trPr>
          <w:tblHeader w:val="on"/>
        </w:trPr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Параметр</w:t>
            </w:r>
          </w:p>
        </w:tc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Значение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Исполнитель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Отдел рекламы, КАМ, Отдел продукта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SLA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День мероприятия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Точка передачи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—</w:t>
            </w:r>
          </w:p>
        </w:tc>
      </w:tr>
    </w:tbl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Действия: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1. Контроль площадки и подрядчиков (Отдел рекламы)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2. Встреча и регистрация агентов (КАМ)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3. Презентация направления (Отдел продукта)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4. Нетворкинг и фотосессия</w:t>
      </w:r>
    </w:p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Проблемы: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- ⚠️ Форс-мажоры (технические сбои, неявка спикера)</w:t>
      </w:r>
    </w:p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24"/>
    <w:bookmarkStart w:id="25" w:name="этап-7-отчётность-и-анализ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Этап 7: Отчётность и анализ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386"/>
        <w:gridCol w:w="5386"/>
      </w:tblGrid>
      <w:tr>
        <w:trPr>
          <w:tblHeader w:val="on"/>
        </w:trPr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Параметр</w:t>
            </w:r>
          </w:p>
        </w:tc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Значение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Исполнитель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Отдел рекламы, Контент-маркетинг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SLA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3-5 дней после мероприятия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Точка передачи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→ Партнёр, → Руководство</w:t>
            </w:r>
          </w:p>
        </w:tc>
      </w:tr>
    </w:tbl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Действия: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1. Сбор фотоотчёта от фотографа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2. Получение списков участников от КАМ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3. Сбор обратной связи от партнёра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4. Публикация отчёта в соцсетях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5. Формирование итогового отчёта с KPI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6. Закрывающие документы в бухгалтерию</w:t>
      </w:r>
    </w:p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25"/>
    <w:bookmarkEnd w:id="26"/>
    <w:bookmarkStart w:id="28" w:name="диаграмма-процесса"/>
    <w:p>
      <w:pPr>
        <w:pStyle w:val="Heading2"/>
        <w:spacing w:line="240" w:lineRule="auto" w:before="60" w:after="120"/>
        <w:ind w:right="0" w:firstLine="0" w:left="360"/>
      </w:pPr>
      <w:r>
        <w:rPr>
          <w:rFonts w:ascii="Tahoma" w:hAnsi="Tahoma" w:cs="Tahoma" w:eastAsia="Tahoma"/>
          <w:b/>
          <w:color w:val="003399"/>
          <w:sz w:val="32"/>
        </w:rPr>
        <w:t>6. Диаграмма процесса</w:t>
      </w:r>
    </w:p>
    <w:bookmarkStart w:id="27" w:name="легенда-диаграммы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Легенда диаграммы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386"/>
        <w:gridCol w:w="5386"/>
      </w:tblGrid>
      <w:tr>
        <w:trPr>
          <w:tblHeader w:val="on"/>
        </w:trPr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Элемент</w:t>
            </w:r>
          </w:p>
        </w:tc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Значение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Style w:val="VerbatimChar"/>
                <w:rFonts w:ascii="Tahoma" w:hAnsi="Tahoma" w:cs="Tahoma" w:eastAsia="Tahoma"/>
                <w:b w:val="0"/>
                <w:sz w:val="18"/>
              </w:rPr>
              <w:t>┌─────┐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Этап процесса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Style w:val="VerbatimChar"/>
                <w:rFonts w:ascii="Tahoma" w:hAnsi="Tahoma" w:cs="Tahoma" w:eastAsia="Tahoma"/>
                <w:b w:val="0"/>
                <w:sz w:val="18"/>
              </w:rPr>
              <w:t>────►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Направление потока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Style w:val="VerbatimChar"/>
                <w:rFonts w:ascii="Tahoma" w:hAnsi="Tahoma" w:cs="Tahoma" w:eastAsia="Tahoma"/>
                <w:b w:val="0"/>
                <w:sz w:val="18"/>
              </w:rPr>
              <w:t>(время)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SLA или длительность этапа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Style w:val="VerbatimChar"/>
                <w:rFonts w:ascii="Tahoma" w:hAnsi="Tahoma" w:cs="Tahoma" w:eastAsia="Tahoma"/>
                <w:b w:val="0"/>
                <w:sz w:val="18"/>
              </w:rPr>
              <w:t>✓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Завершение процесса</w:t>
            </w:r>
          </w:p>
        </w:tc>
      </w:tr>
    </w:tbl>
    <w:p>
      <w:pPr>
        <w:pStyle w:val="SourceCode"/>
        <w:spacing w:line="240" w:lineRule="auto" w:before="0" w:after="40"/>
        <w:ind w:right="0" w:firstLine="0" w:left="0"/>
      </w:pPr>
      <w:r>
        <w:rPr>
          <w:rStyle w:val="VerbatimChar"/>
          <w:rFonts w:ascii="Tahoma" w:hAnsi="Tahoma" w:cs="Tahoma" w:eastAsia="Tahoma"/>
          <w:b w:val="0"/>
          <w:sz w:val="18"/>
        </w:rPr>
        <w:t>┌───────────────┐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ЗАПРОС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(партнёр /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план / продукт)│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└───────┬───────┘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▼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┌───────────────┐ ┌───────────────┐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ИНИЦИАЦИЯ │────►│ ПЛАНИРОВАНИЕ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(2 дня) │ │ (5 дней)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└───────────────┘ └───────┬───────┘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┌─────────────────────┼─────────────────────┐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▼ ▼ ▼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┌───────────────┐ ┌───────────────┐ ┌───────────────┐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ФИНАНСЫ │ │ ЮРИСТ │ │ КАМ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(счета) │ │ (договоры) │ │ (набор)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└───────┬───────┘ └───────┬───────┘ └───────┬───────┘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│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└─────────────────────┼─────────────────────┘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▼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┌───────────────┐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КОНТЕНТ │────► Партнёр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(7 дней) │ (согласование)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└───────┬───────┘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▼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┌───────────────┐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МЕРОПРИЯТИЕ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(1 день)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└───────┬───────┘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▼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┌───────────────┐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ОТЧЁТ │────► Партнёр ✓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(5 дней) │────► Руководство ✓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└───────────────┘</w:t>
      </w:r>
    </w:p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27"/>
    <w:bookmarkEnd w:id="28"/>
    <w:bookmarkStart w:id="29" w:name="системы-и-инструменты"/>
    <w:p>
      <w:pPr>
        <w:pStyle w:val="Heading2"/>
        <w:spacing w:line="240" w:lineRule="auto" w:before="60" w:after="120"/>
        <w:ind w:right="0" w:firstLine="0" w:left="360"/>
      </w:pPr>
      <w:r>
        <w:rPr>
          <w:rFonts w:ascii="Tahoma" w:hAnsi="Tahoma" w:cs="Tahoma" w:eastAsia="Tahoma"/>
          <w:b/>
          <w:color w:val="003399"/>
          <w:sz w:val="32"/>
        </w:rPr>
        <w:t>7. Системы и инструменты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386"/>
        <w:gridCol w:w="5386"/>
      </w:tblGrid>
      <w:tr>
        <w:trPr>
          <w:tblHeader w:val="on"/>
        </w:trPr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Система</w:t>
            </w:r>
          </w:p>
        </w:tc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Роль в процессе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Битрикс24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Постановка задач, коммуникации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Email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Коммуникация с партнёрами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Invoice Tracker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Контроль счетов партнёрам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МТС Линк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Платформа для вебинаров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Google Таблицы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Списки участников, планирование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Соцсети (TG, VK)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Публикация отчётов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RoiStat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Сквозная аналитика (в процессе внедрения)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29"/>
    <w:bookmarkStart w:id="30" w:name="kpi-процесса"/>
    <w:p>
      <w:pPr>
        <w:pStyle w:val="Heading2"/>
        <w:spacing w:line="240" w:lineRule="auto" w:before="60" w:after="120"/>
        <w:ind w:right="0" w:firstLine="0" w:left="360"/>
      </w:pPr>
      <w:r>
        <w:rPr>
          <w:rFonts w:ascii="Tahoma" w:hAnsi="Tahoma" w:cs="Tahoma" w:eastAsia="Tahoma"/>
          <w:b/>
          <w:color w:val="003399"/>
          <w:sz w:val="32"/>
        </w:rPr>
        <w:t>8. KPI процесса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93"/>
        <w:gridCol w:w="2693"/>
        <w:gridCol w:w="2693"/>
        <w:gridCol w:w="2693"/>
      </w:tblGrid>
      <w:tr>
        <w:trPr>
          <w:tblHeader w:val="on"/>
        </w:trPr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Метрика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Целевое значение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Текущее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Метод измерения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Количество мероприятий/месяц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≥4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3-4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Подсчёт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Средняя явка на мероприятие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≥70%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~50%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Регистрация vs факт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Посещаемость вебинаров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≥100 чел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~80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МТС Линк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Партнёрские бюджеты/год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Рост 20%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Нет данных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Invoice Tracker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ROI рекламных кампаний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≥300%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Нет данных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RoiStat (после внедрения)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Open Rate email-рассылок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≥25%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~18%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Email-платформа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30"/>
    <w:bookmarkStart w:id="33" w:name="риски-и-проблемы"/>
    <w:p>
      <w:pPr>
        <w:pStyle w:val="Heading2"/>
        <w:spacing w:line="240" w:lineRule="auto" w:before="60" w:after="120"/>
        <w:ind w:right="0" w:firstLine="0" w:left="360"/>
      </w:pPr>
      <w:r>
        <w:rPr>
          <w:rFonts w:ascii="Tahoma" w:hAnsi="Tahoma" w:cs="Tahoma" w:eastAsia="Tahoma"/>
          <w:b/>
          <w:color w:val="003399"/>
          <w:sz w:val="32"/>
        </w:rPr>
        <w:t>9. Риски и проблемы</w:t>
      </w:r>
    </w:p>
    <w:bookmarkStart w:id="31" w:name="критические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Критические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591"/>
        <w:gridCol w:w="3591"/>
        <w:gridCol w:w="3591"/>
      </w:tblGrid>
      <w:tr>
        <w:trPr>
          <w:tblHeader w:val="on"/>
        </w:trPr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Проблема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Причина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Влияние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Вакансия директора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Нет руководителя L1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Отсутствие единой стратегии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Нет сквозной аналитики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RoiStat не внедрён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Невозможно измерить ROI</w:t>
            </w:r>
          </w:p>
        </w:tc>
      </w:tr>
    </w:tbl>
    <w:bookmarkEnd w:id="31"/>
    <w:bookmarkStart w:id="32" w:name="высокие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Высокие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591"/>
        <w:gridCol w:w="3591"/>
        <w:gridCol w:w="3591"/>
      </w:tblGrid>
      <w:tr>
        <w:trPr>
          <w:tblHeader w:val="on"/>
        </w:trPr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Проблема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Причина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Влияние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Устаревшие цены в рассылках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Ручной сбор от продуктологов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Некорректная информация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Высокая загрузка дизайнера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 специалист на все задачи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Задержки креативов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Низкая посещаемость вебинаров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Слабый отклик, технические проблемы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Низкий охват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32"/>
    <w:bookmarkEnd w:id="33"/>
    <w:bookmarkStart w:id="34" w:name="точки-автоматизации"/>
    <w:p>
      <w:pPr>
        <w:pStyle w:val="Heading2"/>
        <w:spacing w:line="240" w:lineRule="auto" w:before="60" w:after="120"/>
        <w:ind w:right="0" w:firstLine="0" w:left="360"/>
      </w:pPr>
      <w:r>
        <w:rPr>
          <w:rFonts w:ascii="Tahoma" w:hAnsi="Tahoma" w:cs="Tahoma" w:eastAsia="Tahoma"/>
          <w:b/>
          <w:color w:val="003399"/>
          <w:sz w:val="32"/>
        </w:rPr>
        <w:t>10. Точки автоматизации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54"/>
        <w:gridCol w:w="2154"/>
        <w:gridCol w:w="2154"/>
        <w:gridCol w:w="2154"/>
        <w:gridCol w:w="2154"/>
      </w:tblGrid>
      <w:tr>
        <w:trPr>
          <w:tblHeader w:val="on"/>
        </w:trPr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ID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Название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Описание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Ожидаемый эффект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Приоритет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AUTO-MKT-01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Интеграция САМО→Email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Автоматическое обновление цен и ссылок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-50% ошибок в рассылках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🟠 HIGH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AUTO-MKT-02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RoiStat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Полная сквозная аналитика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ROI-дашборды в реалтайме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🟠 HIGH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AUTO-MKT-03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ИИ для дизайна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Генерация базовых визуалов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+20% скорость креативов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🟡 MEDIUM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AUTO-MKT-04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Шаблоны задач Битрикс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Стандартизация процесса мероприятий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-30% время планирования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🟡 MEDIUM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AUTO-MKT-05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Авторассылка напоминаний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Напоминания участникам о мероприятиях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+15% явка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🟡 MEDIUM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34"/>
    <w:bookmarkStart w:id="37" w:name="рекомендации"/>
    <w:p>
      <w:pPr>
        <w:pStyle w:val="Heading2"/>
        <w:spacing w:line="240" w:lineRule="auto" w:before="60" w:after="120"/>
        <w:ind w:right="0" w:firstLine="0" w:left="360"/>
      </w:pPr>
      <w:r>
        <w:rPr>
          <w:rFonts w:ascii="Tahoma" w:hAnsi="Tahoma" w:cs="Tahoma" w:eastAsia="Tahoma"/>
          <w:b/>
          <w:color w:val="003399"/>
          <w:sz w:val="32"/>
        </w:rPr>
        <w:t>11. Рекомендации</w:t>
      </w:r>
    </w:p>
    <w:bookmarkStart w:id="35" w:name="немедленные-действия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Немедленные действия</w:t>
      </w:r>
    </w:p>
    <w:p>
      <w:pPr>
        <w:pStyle w:val="Compact"/>
        <w:numPr>
          <w:ilvl w:val="0"/>
          <w:numId w:val="1003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Закрыть вакансию директора по маркетингу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— критически важно для единой стратегии</w:t>
      </w:r>
    </w:p>
    <w:p>
      <w:pPr>
        <w:pStyle w:val="Compact"/>
        <w:numPr>
          <w:ilvl w:val="0"/>
          <w:numId w:val="1003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Завершить внедрение RoiStat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— необходимо для измерения эффективности</w:t>
      </w:r>
    </w:p>
    <w:p>
      <w:pPr>
        <w:pStyle w:val="Compact"/>
        <w:numPr>
          <w:ilvl w:val="0"/>
          <w:numId w:val="1003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Создать интеграцию САМО→Email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— для актуальных цен в рассылках</w:t>
      </w:r>
    </w:p>
    <w:bookmarkEnd w:id="35"/>
    <w:bookmarkStart w:id="36" w:name="среднесрочные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Среднесрочные</w:t>
      </w:r>
    </w:p>
    <w:p>
      <w:pPr>
        <w:pStyle w:val="Compact"/>
        <w:numPr>
          <w:ilvl w:val="0"/>
          <w:numId w:val="1004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Разработать единую маркетинговую стратегию на год</w:t>
      </w:r>
    </w:p>
    <w:p>
      <w:pPr>
        <w:pStyle w:val="Compact"/>
        <w:numPr>
          <w:ilvl w:val="0"/>
          <w:numId w:val="1004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Внедрить систему управления партнёрскими бюджетами</w:t>
      </w:r>
    </w:p>
    <w:p>
      <w:pPr>
        <w:pStyle w:val="Compact"/>
        <w:numPr>
          <w:ilvl w:val="0"/>
          <w:numId w:val="1004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Автоматизировать процесс набора участников на мероприятия</w:t>
      </w:r>
    </w:p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36"/>
    <w:bookmarkEnd w:id="37"/>
    <w:bookmarkStart w:id="38" w:name="связанные-документы"/>
    <w:p>
      <w:pPr>
        <w:pStyle w:val="Heading2"/>
        <w:spacing w:line="240" w:lineRule="auto" w:before="60" w:after="120"/>
        <w:ind w:right="0" w:firstLine="0" w:left="360"/>
      </w:pPr>
      <w:r>
        <w:rPr>
          <w:rFonts w:ascii="Tahoma" w:hAnsi="Tahoma" w:cs="Tahoma" w:eastAsia="Tahoma"/>
          <w:b/>
          <w:color w:val="003399"/>
          <w:sz w:val="32"/>
        </w:rPr>
        <w:t>12. Связанные документы</w:t>
      </w:r>
    </w:p>
    <w:p>
      <w:pPr>
        <w:pStyle w:val="Compact"/>
        <w:numPr>
          <w:ilvl w:val="0"/>
          <w:numId w:val="1005"/>
        </w:numPr>
        <w:spacing w:line="240" w:lineRule="auto" w:before="0" w:after="40"/>
        <w:ind w:right="0" w:firstLine="0" w:left="0"/>
      </w:pPr>
      <w:r>
        <w:rPr>
          <w:rStyle w:val="VerbatimChar"/>
          <w:rFonts w:ascii="Tahoma" w:hAnsi="Tahoma" w:cs="Tahoma" w:eastAsia="Tahoma"/>
          <w:b w:val="0"/>
          <w:sz w:val="18"/>
        </w:rPr>
        <w:t>L1_json/MKT_Департамент_маркетинга_MODELED. json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— Смоделированная анкета L1</w:t>
      </w:r>
    </w:p>
    <w:p>
      <w:pPr>
        <w:pStyle w:val="Compact"/>
        <w:numPr>
          <w:ilvl w:val="0"/>
          <w:numId w:val="1005"/>
        </w:numPr>
        <w:spacing w:line="240" w:lineRule="auto" w:before="0" w:after="40"/>
        <w:ind w:right="0" w:firstLine="0" w:left="0"/>
      </w:pPr>
      <w:r>
        <w:rPr>
          <w:rStyle w:val="VerbatimChar"/>
          <w:rFonts w:ascii="Tahoma" w:hAnsi="Tahoma" w:cs="Tahoma" w:eastAsia="Tahoma"/>
          <w:b w:val="0"/>
          <w:sz w:val="18"/>
        </w:rPr>
        <w:t>L2_json/36._Колдаева_Отдел_рекламы. json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— Анкета отдела рекламы</w:t>
      </w:r>
    </w:p>
    <w:p>
      <w:pPr>
        <w:pStyle w:val="Compact"/>
        <w:numPr>
          <w:ilvl w:val="0"/>
          <w:numId w:val="1005"/>
        </w:numPr>
        <w:spacing w:line="240" w:lineRule="auto" w:before="0" w:after="40"/>
        <w:ind w:right="0" w:firstLine="0" w:left="0"/>
      </w:pPr>
      <w:r>
        <w:rPr>
          <w:rStyle w:val="VerbatimChar"/>
          <w:rFonts w:ascii="Tahoma" w:hAnsi="Tahoma" w:cs="Tahoma" w:eastAsia="Tahoma"/>
          <w:b w:val="0"/>
          <w:sz w:val="18"/>
        </w:rPr>
        <w:t>L2_json/37._Седых_Отдел_контент-маркетинга. json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— Анкета контент-маркетинга</w:t>
      </w:r>
    </w:p>
    <w:p>
      <w:pPr>
        <w:pStyle w:val="Compact"/>
        <w:numPr>
          <w:ilvl w:val="0"/>
          <w:numId w:val="1005"/>
        </w:numPr>
        <w:spacing w:line="240" w:lineRule="auto" w:before="0" w:after="40"/>
        <w:ind w:right="0" w:firstLine="0" w:left="0"/>
      </w:pPr>
      <w:r>
        <w:rPr>
          <w:rStyle w:val="VerbatimChar"/>
          <w:rFonts w:ascii="Tahoma" w:hAnsi="Tahoma" w:cs="Tahoma" w:eastAsia="Tahoma"/>
          <w:b w:val="0"/>
          <w:sz w:val="18"/>
        </w:rPr>
        <w:t>L2_json/38._Четверик_Отдел_маркетинга. json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— Анкета отдела маркетинга</w:t>
      </w:r>
    </w:p>
    <w:p>
      <w:pPr>
        <w:pStyle w:val="Compact"/>
        <w:numPr>
          <w:ilvl w:val="0"/>
          <w:numId w:val="1005"/>
        </w:numPr>
        <w:spacing w:line="240" w:lineRule="auto" w:before="0" w:after="40"/>
        <w:ind w:right="0" w:firstLine="0" w:left="0"/>
      </w:pPr>
      <w:r>
        <w:rPr>
          <w:rStyle w:val="VerbatimChar"/>
          <w:rFonts w:ascii="Tahoma" w:hAnsi="Tahoma" w:cs="Tahoma" w:eastAsia="Tahoma"/>
          <w:b w:val="0"/>
          <w:sz w:val="18"/>
        </w:rPr>
        <w:t>docs/2. 1_department_interactions. json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— Взаимодействия подразделений</w:t>
      </w:r>
    </w:p>
    <w:bookmarkEnd w:id="38"/>
    <w:bookmarkEnd w:id="39"/>
    <w:sectPr>
      <w:footerReference w:type="default" r:id="rId9"/>
      <w:footnotePr>
        <w:numRestart w:val="eachSect"/>
      </w:footnotePr>
      <w:pgSz w:w="11906" w:h="16838"/>
      <w:pgMar w:top="567" w:bottom="850" w:left="567" w:right="56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ahoma" w:hAnsi="Tahoma"/>
        <w:sz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2026-02-24T16:17:46Z</dcterms:created>
  <dcterms:modified xsi:type="dcterms:W3CDTF">2026-02-24T16:17:46Z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