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ff1605f9149f996509e8fe9e85b5b3aa05d3a2"/>
    <w:p>
      <w:pPr>
        <w:pStyle w:val="Heading1"/>
      </w:pPr>
      <w:r>
        <w:t xml:space="preserve">ДЕПАРТАМЕНТ РАЗВИТИЯ ВЗАИМОДЕЙСТВИЯ С АГЕНТСТВАМИ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Мурадян Ольга Юльевна</w:t>
      </w:r>
    </w:p>
    <w:p>
      <w:pPr>
        <w:pStyle w:val="BodyText"/>
      </w:pPr>
      <w:r>
        <w:rPr>
          <w:b/>
          <w:bCs/>
        </w:rPr>
        <w:t xml:space="preserve">Штат:</w:t>
      </w:r>
      <w:r>
        <w:t xml:space="preserve"> </w:t>
      </w:r>
      <w:r>
        <w:t xml:space="preserve">28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Увеличить выручку от агентских продаж на 15% к 31.12.2026 (с 2,5 до 2,875 млрд руб.) через привлечение 200 новых активных агентов и рост среднего чека на 10%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Привлечение новых агентов</w:t>
      </w:r>
    </w:p>
    <w:p>
      <w:pPr>
        <w:pStyle w:val="Compact"/>
        <w:numPr>
          <w:ilvl w:val="1"/>
          <w:numId w:val="1002"/>
        </w:numPr>
      </w:pPr>
      <w:r>
        <w:t xml:space="preserve">→ Управление по развитию региональных офисов (рук. Осипов): планирование и стратегическое развитие региональных представительств</w:t>
      </w:r>
    </w:p>
    <w:p>
      <w:pPr>
        <w:pStyle w:val="Compact"/>
        <w:numPr>
          <w:ilvl w:val="1"/>
          <w:numId w:val="1002"/>
        </w:numPr>
      </w:pPr>
      <w:r>
        <w:t xml:space="preserve">→ Управление по развитию региональных офисов (рук. Осипов): операционное управление офисами и увеличение прибыльности</w:t>
      </w:r>
    </w:p>
    <w:p>
      <w:pPr>
        <w:pStyle w:val="Compact"/>
        <w:numPr>
          <w:ilvl w:val="1"/>
          <w:numId w:val="1002"/>
        </w:numPr>
      </w:pPr>
      <w:r>
        <w:t xml:space="preserve">→ Управление по развитию региональных офисов (рук. Осипов): анализ рынка и поиск точек роста в регионах</w:t>
      </w:r>
    </w:p>
    <w:p>
      <w:pPr>
        <w:pStyle w:val="Compact"/>
        <w:numPr>
          <w:ilvl w:val="1"/>
          <w:numId w:val="1002"/>
        </w:numPr>
      </w:pPr>
      <w:r>
        <w:t xml:space="preserve">→ Офис г. Екатеринбург (рук. Попова): административно-хозяйственная функция офиса</w:t>
      </w:r>
    </w:p>
    <w:p>
      <w:pPr>
        <w:pStyle w:val="Compact"/>
        <w:numPr>
          <w:ilvl w:val="1"/>
          <w:numId w:val="1002"/>
        </w:numPr>
      </w:pPr>
      <w:r>
        <w:t xml:space="preserve">→ Офис г. Екатеринбург (рук. Попова): заключение договоров с агентами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Удержание действующих агентов</w:t>
      </w:r>
    </w:p>
    <w:p>
      <w:pPr>
        <w:pStyle w:val="Compact"/>
        <w:numPr>
          <w:ilvl w:val="1"/>
          <w:numId w:val="1004"/>
        </w:numPr>
      </w:pPr>
      <w:r>
        <w:t xml:space="preserve">→ Офис г. Екатеринбург (рук. Попова): развитие агентской сети Урала</w:t>
      </w:r>
    </w:p>
    <w:p>
      <w:pPr>
        <w:pStyle w:val="Compact"/>
        <w:numPr>
          <w:ilvl w:val="1"/>
          <w:numId w:val="1004"/>
        </w:numPr>
      </w:pPr>
      <w:r>
        <w:t xml:space="preserve">→ Офис г. Казань (рук. Гришина): развитие агентской сети Поволжья</w:t>
      </w:r>
    </w:p>
    <w:p>
      <w:pPr>
        <w:pStyle w:val="Compact"/>
        <w:numPr>
          <w:ilvl w:val="1"/>
          <w:numId w:val="1004"/>
        </w:numPr>
      </w:pPr>
      <w:r>
        <w:t xml:space="preserve">→ Офис г. Казань (рук. Гришина): обзвон и персональные встречи с агентами</w:t>
      </w:r>
    </w:p>
    <w:p>
      <w:pPr>
        <w:pStyle w:val="Compact"/>
        <w:numPr>
          <w:ilvl w:val="1"/>
          <w:numId w:val="1004"/>
        </w:numPr>
      </w:pPr>
      <w:r>
        <w:t xml:space="preserve">→ Офис г. Казань (рук. Гришина): привлечение новых агентств</w:t>
      </w:r>
    </w:p>
    <w:p>
      <w:pPr>
        <w:pStyle w:val="Compact"/>
        <w:numPr>
          <w:ilvl w:val="1"/>
          <w:numId w:val="1004"/>
        </w:numPr>
      </w:pPr>
      <w:r>
        <w:t xml:space="preserve">→ Офис г. Ростов-на-Дону: развитие агентской сети ЮФО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Мотивация агентов</w:t>
      </w:r>
    </w:p>
    <w:p>
      <w:pPr>
        <w:pStyle w:val="Compact"/>
        <w:numPr>
          <w:ilvl w:val="1"/>
          <w:numId w:val="1006"/>
        </w:numPr>
      </w:pPr>
      <w:r>
        <w:t xml:space="preserve">→ Офис г. Ростов-на-Дону: организация и контроль операционной деятельности</w:t>
      </w:r>
    </w:p>
    <w:p>
      <w:pPr>
        <w:pStyle w:val="Compact"/>
        <w:numPr>
          <w:ilvl w:val="1"/>
          <w:numId w:val="1006"/>
        </w:numPr>
      </w:pPr>
      <w:r>
        <w:t xml:space="preserve">→ Офис г. Уфа: развитие агентской сети Башкортостана и Приуралья</w:t>
      </w:r>
    </w:p>
    <w:p>
      <w:pPr>
        <w:pStyle w:val="Compact"/>
        <w:numPr>
          <w:ilvl w:val="1"/>
          <w:numId w:val="1006"/>
        </w:numPr>
      </w:pPr>
      <w:r>
        <w:t xml:space="preserve">→ Офис г. Уфа: организация и контроль операционной деятельности</w:t>
      </w:r>
    </w:p>
    <w:p>
      <w:pPr>
        <w:pStyle w:val="Compact"/>
        <w:numPr>
          <w:ilvl w:val="1"/>
          <w:numId w:val="1006"/>
        </w:numPr>
      </w:pPr>
      <w:r>
        <w:t xml:space="preserve">→ Офис г. Уфа: развитие агентской сети Башкортостана и Приуралья</w:t>
      </w:r>
    </w:p>
    <w:p>
      <w:pPr>
        <w:pStyle w:val="Compact"/>
        <w:numPr>
          <w:ilvl w:val="1"/>
          <w:numId w:val="1006"/>
        </w:numPr>
      </w:pPr>
      <w:r>
        <w:t xml:space="preserve">→ Офис г. Уфа: организация и контроль операционной деятельности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07"/>
        </w:numPr>
      </w:pPr>
      <w:r>
        <w:t xml:space="preserve">AUTO-035: Синхронизация данных агентов САМО ↔ Битрикс24 — 18 ч/мес</w:t>
      </w:r>
    </w:p>
    <w:p>
      <w:pPr>
        <w:pStyle w:val="Compact"/>
        <w:numPr>
          <w:ilvl w:val="0"/>
          <w:numId w:val="1007"/>
        </w:numPr>
      </w:pPr>
      <w:r>
        <w:t xml:space="preserve">AUTO-043: Автоуведомления агентам о статусе заявок — 40 ч/мес</w:t>
      </w:r>
    </w:p>
    <w:p>
      <w:pPr>
        <w:pStyle w:val="Compact"/>
        <w:numPr>
          <w:ilvl w:val="0"/>
          <w:numId w:val="1007"/>
        </w:numPr>
      </w:pPr>
      <w:r>
        <w:t xml:space="preserve">AUTO-044: Контроль кредитных лимитов агентов — 17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08"/>
        </w:numPr>
      </w:pPr>
      <w:r>
        <w:t xml:space="preserve">TZ-01: Интеграция САМО ↔ Битрикс24 — 220 ч/ч, 660 000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Снизить объём дебиторской задолженности агентов свыше 30 дней на 40% к 31.12.2026 через внедрение системы раннего предупреждения и автоматических напоминаний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Минимизация убытков</w:t>
      </w:r>
    </w:p>
    <w:p>
      <w:pPr>
        <w:pStyle w:val="Compact"/>
        <w:numPr>
          <w:ilvl w:val="1"/>
          <w:numId w:val="1010"/>
        </w:numPr>
      </w:pPr>
      <w:r>
        <w:t xml:space="preserve">→ Отдел по работе с ключевыми клиентами (рук. Редин): привлечение новых агентов</w:t>
      </w:r>
    </w:p>
    <w:p>
      <w:pPr>
        <w:pStyle w:val="Compact"/>
        <w:numPr>
          <w:ilvl w:val="1"/>
          <w:numId w:val="1010"/>
        </w:numPr>
      </w:pPr>
      <w:r>
        <w:t xml:space="preserve">→ Отдел по работе с ключевыми клиентами (рук. Редин): увеличение объемов у действующих</w:t>
      </w:r>
    </w:p>
    <w:p>
      <w:pPr>
        <w:pStyle w:val="Compact"/>
        <w:numPr>
          <w:ilvl w:val="1"/>
          <w:numId w:val="1010"/>
        </w:numPr>
      </w:pPr>
      <w:r>
        <w:t xml:space="preserve">→ Отдел по работе с ключевыми клиентами (рук. Редин): увеличение среднего чека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Контроль кредитных лимитов</w:t>
      </w:r>
    </w:p>
    <w:p>
      <w:pPr>
        <w:pStyle w:val="Compact"/>
        <w:numPr>
          <w:ilvl w:val="1"/>
          <w:numId w:val="1012"/>
        </w:numPr>
      </w:pPr>
      <w:r>
        <w:t xml:space="preserve">→ Отдел по работе с ключевыми клиентами (рук. Редин): процесс запуска рекламных туров</w:t>
      </w:r>
    </w:p>
    <w:p>
      <w:pPr>
        <w:pStyle w:val="Compact"/>
        <w:numPr>
          <w:ilvl w:val="1"/>
          <w:numId w:val="1012"/>
        </w:numPr>
      </w:pPr>
      <w:r>
        <w:t xml:space="preserve">→ Отдел по работе с ключевыми клиентами (рук. Редин): процесс запуска бизнес-завтраков</w:t>
      </w:r>
    </w:p>
    <w:p>
      <w:pPr>
        <w:pStyle w:val="Compact"/>
        <w:numPr>
          <w:ilvl w:val="1"/>
          <w:numId w:val="1012"/>
        </w:numPr>
      </w:pPr>
      <w:r>
        <w:t xml:space="preserve">→ Отдел по работе с ключевыми клиентами (рук. Редин): привлечение новых агентов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Своевременное информирование агентов</w:t>
      </w:r>
    </w:p>
    <w:p>
      <w:pPr>
        <w:pStyle w:val="Compact"/>
        <w:numPr>
          <w:ilvl w:val="1"/>
          <w:numId w:val="1014"/>
        </w:numPr>
      </w:pPr>
      <w:r>
        <w:t xml:space="preserve">→ Отдел по работе с ключевыми клиентами (рук. Редин): увеличение объемов у действующих</w:t>
      </w:r>
    </w:p>
    <w:p>
      <w:pPr>
        <w:pStyle w:val="Compact"/>
        <w:numPr>
          <w:ilvl w:val="1"/>
          <w:numId w:val="1014"/>
        </w:numPr>
      </w:pPr>
      <w:r>
        <w:t xml:space="preserve">→ Отдел по работе с ключевыми клиентами (рук. Редин): увеличение среднего чека</w:t>
      </w:r>
    </w:p>
    <w:p>
      <w:pPr>
        <w:pStyle w:val="Compact"/>
        <w:numPr>
          <w:ilvl w:val="1"/>
          <w:numId w:val="1014"/>
        </w:numPr>
      </w:pPr>
      <w:r>
        <w:t xml:space="preserve">→ Отдел по работе с ключевыми клиентами (рук. Редин): процесс запуска рекламных туров</w:t>
      </w:r>
    </w:p>
    <w:p>
      <w:pPr>
        <w:pStyle w:val="Compact"/>
        <w:numPr>
          <w:ilvl w:val="1"/>
          <w:numId w:val="1014"/>
        </w:numPr>
      </w:pPr>
      <w:r>
        <w:t xml:space="preserve">→ Отдел по работе с ключевыми клиентами (рук. Редин): процесс запуска бизнес-завтраков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5"/>
        </w:numPr>
      </w:pPr>
      <w:r>
        <w:t xml:space="preserve">AUTO-044: Автоблокировка бронирования при превышении лимита — 17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6"/>
        </w:numPr>
      </w:pPr>
      <w:r>
        <w:t xml:space="preserve">TZ-01: Интеграция САМО ↔ Битрикс24 — 220 ч/ч, 660 000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"/>
    <w:p>
      <w:pPr>
        <w:pStyle w:val="Heading2"/>
      </w:pPr>
      <w:r>
        <w:t xml:space="preserve">ЦЕЛЬ 3</w:t>
      </w:r>
    </w:p>
    <w:p>
      <w:pPr>
        <w:pStyle w:val="FirstParagraph"/>
      </w:pPr>
      <w:r>
        <w:t xml:space="preserve">Повысить качество агентской базы: увеличить долю агентов с выручкой более 1 млн руб./год до 40% к 31.12.2026 (с текущих 25%)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Управление качеством предоставления сервиса для агентов</w:t>
      </w:r>
    </w:p>
    <w:p>
      <w:pPr>
        <w:pStyle w:val="Compact"/>
        <w:numPr>
          <w:ilvl w:val="1"/>
          <w:numId w:val="1018"/>
        </w:numPr>
      </w:pPr>
      <w:r>
        <w:t xml:space="preserve">→ Управление по развитию региональных офисов (рук. Осипов): анализ эффективности агентов по регионам</w:t>
      </w:r>
    </w:p>
    <w:p>
      <w:pPr>
        <w:pStyle w:val="Compact"/>
        <w:numPr>
          <w:ilvl w:val="1"/>
          <w:numId w:val="1018"/>
        </w:numPr>
      </w:pPr>
      <w:r>
        <w:t xml:space="preserve">→ Управление по развитию региональных офисов (рук. Осипов): программы развития для агентов с потенциалом роста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Сегментация агентской базы</w:t>
      </w:r>
    </w:p>
    <w:p>
      <w:pPr>
        <w:pStyle w:val="Compact"/>
        <w:numPr>
          <w:ilvl w:val="1"/>
          <w:numId w:val="1020"/>
        </w:numPr>
      </w:pPr>
      <w:r>
        <w:t xml:space="preserve">→ Управление по развитию региональных офисов (рук. Осипов): обучение и поддержка агентов</w:t>
      </w:r>
    </w:p>
    <w:p>
      <w:pPr>
        <w:pStyle w:val="Compact"/>
        <w:numPr>
          <w:ilvl w:val="1"/>
          <w:numId w:val="1020"/>
        </w:numPr>
      </w:pPr>
      <w:r>
        <w:t xml:space="preserve">→ Управление по развитию региональных офисов (рук. Осипов): анализ эффективности агентов по регионам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Развитие перспективных агентов</w:t>
      </w:r>
    </w:p>
    <w:p>
      <w:pPr>
        <w:pStyle w:val="Compact"/>
        <w:numPr>
          <w:ilvl w:val="1"/>
          <w:numId w:val="1022"/>
        </w:numPr>
      </w:pPr>
      <w:r>
        <w:t xml:space="preserve">→ Управление по развитию региональных офисов (рук. Осипов): программы развития для агентов с потенциалом роста</w:t>
      </w:r>
    </w:p>
    <w:p>
      <w:pPr>
        <w:pStyle w:val="Compact"/>
        <w:numPr>
          <w:ilvl w:val="1"/>
          <w:numId w:val="1022"/>
        </w:numPr>
      </w:pPr>
      <w:r>
        <w:t xml:space="preserve">→ Управление по развитию региональных офисов (рук. Осипов): обучение и поддержка агентов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23"/>
        </w:numPr>
      </w:pPr>
      <w:r>
        <w:t xml:space="preserve">AUTO-043: Автоуведомления агентам — 40 ч/мес</w:t>
      </w:r>
    </w:p>
    <w:p>
      <w:pPr>
        <w:pStyle w:val="Compact"/>
        <w:numPr>
          <w:ilvl w:val="0"/>
          <w:numId w:val="1023"/>
        </w:numPr>
      </w:pPr>
      <w:r>
        <w:t xml:space="preserve">AUTO-046: Интеграция U-ON.Travel для франчайзи — 17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24"/>
        </w:numPr>
      </w:pPr>
      <w:r>
        <w:t xml:space="preserve">TZ-01: Интеграция САМО ↔ Битрикс24 — 220 ч/ч, 660 000 руб.</w:t>
      </w:r>
    </w:p>
    <w:p>
      <w:pPr>
        <w:pStyle w:val="Compact"/>
        <w:numPr>
          <w:ilvl w:val="0"/>
          <w:numId w:val="1024"/>
        </w:numPr>
      </w:pPr>
      <w:r>
        <w:t xml:space="preserve">TZ-21: Франчайзинг — 220 ч/ч, 660 000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71"/>
        <w:gridCol w:w="2504"/>
        <w:gridCol w:w="1742"/>
        <w:gridCol w:w="780"/>
        <w:gridCol w:w="3702"/>
      </w:tblGrid>
      <w:tr>
        <w:trPr>
          <w:tblHeader w:val="on"/>
        </w:trPr>
        <w:tc>
          <w:tcPr>
            <w:tcW w:w="871" w:type="dxa"/>
            <w:shd w:val="clear" w:color="auto" w:fill="D9E2F3"/>
          </w:tcPr>
          <w:tcPr/>
          <w:tcPr>
            <w:tcW w:w="871" w:type="dxa"/>
            <w:shd w:val="clear" w:color="auto" w:fill="D9E2F3"/>
          </w:tcPr>
          <w:p>
            <w:pPr>
              <w:pStyle w:val="Compact"/>
            </w:pPr>
            <w:r>
              <w:t xml:space="preserve">AUTO</w:t>
            </w:r>
          </w:p>
        </w:tc>
        <w:tc>
          <w:tcPr>
            <w:tcW w:w="2504" w:type="dxa"/>
            <w:shd w:val="clear" w:color="auto" w:fill="D9E2F3"/>
          </w:tcPr>
          <w:tcPr/>
          <w:tcPr>
            <w:tcW w:w="2504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742" w:type="dxa"/>
            <w:shd w:val="clear" w:color="auto" w:fill="D9E2F3"/>
          </w:tcPr>
          <w:tcPr/>
          <w:tcPr>
            <w:tcW w:w="1742" w:type="dxa"/>
            <w:shd w:val="clear" w:color="auto" w:fill="D9E2F3"/>
          </w:tcPr>
          <w:p>
            <w:pPr>
              <w:pStyle w:val="Compact"/>
            </w:pPr>
            <w:r>
              <w:t xml:space="preserve">Экономия (ч/мес)</w:t>
            </w:r>
          </w:p>
        </w:tc>
        <w:tc>
          <w:tcPr>
            <w:tcW w:w="780" w:type="dxa"/>
            <w:shd w:val="clear" w:color="auto" w:fill="D9E2F3"/>
          </w:tcPr>
          <w:tcPr/>
          <w:tcPr>
            <w:tcW w:w="780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3702" w:type="dxa"/>
            <w:shd w:val="clear" w:color="auto" w:fill="D9E2F3"/>
          </w:tcPr>
          <w:tcPr/>
          <w:tcPr>
            <w:tcW w:w="3702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AUTO-035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  <w:r>
              <w:t xml:space="preserve">Синхронизация агентов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TZ-01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Анкета L2: Региональные офисы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AUTO-043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  <w:r>
              <w:t xml:space="preserve">Автоуведомления агентам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TZ-01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Анкета L2: Региональные офисы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AUTO-044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  <w:r>
              <w:t xml:space="preserve">Контроль лимитов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TZ-01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Анкета L2: Отдел ключевых клиентов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AUTO-046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  <w:r>
              <w:t xml:space="preserve">Интеграция франчайзи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TZ-21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Анкета L2: Региональные офисы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92 ч/мес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Compact"/>
        <w:numPr>
          <w:ilvl w:val="0"/>
          <w:numId w:val="1025"/>
        </w:numPr>
      </w:pPr>
      <w:r>
        <w:t xml:space="preserve">18+40+17+17 = 92 ч/мес</w:t>
      </w:r>
    </w:p>
    <w:p>
      <w:pPr>
        <w:pStyle w:val="FirstParagraph"/>
      </w:pPr>
      <w:r>
        <w:rPr>
          <w:b/>
          <w:bCs/>
        </w:rPr>
        <w:t xml:space="preserve">Таблица 2. Расчёт стоимости экономии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54"/>
        <w:gridCol w:w="2057"/>
        <w:gridCol w:w="2605"/>
        <w:gridCol w:w="1782"/>
      </w:tblGrid>
      <w:tr>
        <w:trPr>
          <w:tblHeader w:val="on"/>
        </w:trPr>
        <w:tc>
          <w:tcPr>
            <w:tcW w:w="3154" w:type="dxa"/>
            <w:shd w:val="clear" w:color="auto" w:fill="D9E2F3"/>
          </w:tcPr>
          <w:tcPr/>
          <w:tcPr>
            <w:tcW w:w="3154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2605" w:type="dxa"/>
            <w:shd w:val="clear" w:color="auto" w:fill="D9E2F3"/>
          </w:tcPr>
          <w:tcPr/>
          <w:tcPr>
            <w:tcW w:w="2605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82" w:type="dxa"/>
            <w:shd w:val="clear" w:color="auto" w:fill="D9E2F3"/>
          </w:tcPr>
          <w:tcPr/>
          <w:tcPr>
            <w:tcW w:w="1782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92 ч/мес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Таблица 1, итого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595 руб/час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104 000 руб / 176 ч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54 740 руб/мес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92 ч × 595 руб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год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656 880 руб/год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54 740 × 12 мес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297"/>
        <w:gridCol w:w="7005"/>
        <w:gridCol w:w="1297"/>
      </w:tblGrid>
      <w:tr>
        <w:trPr>
          <w:tblHeader w:val="on"/>
        </w:trPr>
        <w:tc>
          <w:tcPr>
            <w:tcW w:w="1297" w:type="dxa"/>
            <w:shd w:val="clear" w:color="auto" w:fill="D9E2F3"/>
          </w:tcPr>
          <w:tcPr/>
          <w:tcPr>
            <w:tcW w:w="1297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7005" w:type="dxa"/>
            <w:shd w:val="clear" w:color="auto" w:fill="D9E2F3"/>
          </w:tcPr>
          <w:tcPr/>
          <w:tcPr>
            <w:tcW w:w="7005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297" w:type="dxa"/>
            <w:shd w:val="clear" w:color="auto" w:fill="D9E2F3"/>
          </w:tcPr>
          <w:tcPr/>
          <w:tcPr>
            <w:tcW w:w="1297" w:type="dxa"/>
            <w:shd w:val="clear" w:color="auto" w:fill="D9E2F3"/>
          </w:tcPr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TZ-01</w:t>
            </w:r>
          </w:p>
        </w:tc>
        <w:tc>
          <w:tcPr>
            <w:tcW w:w="7005" w:type="dxa"/>
          </w:tcPr>
          <w:tcPr/>
          <w:tcPr>
            <w:tcW w:w="7005" w:type="dxa"/>
          </w:tcPr>
          <w:p>
            <w:pPr>
              <w:pStyle w:val="Compact"/>
            </w:pPr>
            <w:r>
              <w:t xml:space="preserve">Интеграция САМО ↔ Битрикс24</w:t>
            </w:r>
          </w:p>
        </w:tc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TZ-21</w:t>
            </w:r>
          </w:p>
        </w:tc>
        <w:tc>
          <w:tcPr>
            <w:tcW w:w="7005" w:type="dxa"/>
          </w:tcPr>
          <w:tcPr/>
          <w:tcPr>
            <w:tcW w:w="7005" w:type="dxa"/>
          </w:tcPr>
          <w:p>
            <w:pPr>
              <w:pStyle w:val="Compact"/>
            </w:pPr>
            <w:r>
              <w:t xml:space="preserve">Франчайзинг</w:t>
            </w:r>
          </w:p>
        </w:tc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280"/>
        <w:gridCol w:w="1920"/>
        <w:gridCol w:w="2400"/>
      </w:tblGrid>
      <w:tr>
        <w:trPr>
          <w:tblHeader w:val="on"/>
        </w:trPr>
        <w:tc>
          <w:tcPr>
            <w:tcW w:w="5280" w:type="dxa"/>
            <w:shd w:val="clear" w:color="auto" w:fill="D9E2F3"/>
          </w:tcPr>
          <w:tcPr/>
          <w:tcPr>
            <w:tcW w:w="5280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>
            <w:tcW w:w="5280" w:type="dxa"/>
          </w:tcPr>
          <w:tcPr/>
          <w:tcPr>
            <w:tcW w:w="5280" w:type="dxa"/>
          </w:tcPr>
          <w:p>
            <w:pPr>
              <w:pStyle w:val="Compact"/>
            </w:pPr>
            <w:r>
              <w:t xml:space="preserve">Цель 1: Выручка +15%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75 ч/мес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82%</w:t>
            </w:r>
          </w:p>
        </w:tc>
      </w:tr>
      <w:tr>
        <w:tc>
          <w:tcPr>
            <w:tcW w:w="5280" w:type="dxa"/>
          </w:tcPr>
          <w:tcPr/>
          <w:tcPr>
            <w:tcW w:w="5280" w:type="dxa"/>
          </w:tcPr>
          <w:p>
            <w:pPr>
              <w:pStyle w:val="Compact"/>
            </w:pPr>
            <w:r>
              <w:t xml:space="preserve">Цель 2: Дебиторка -40%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0 ч/мес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0%</w:t>
            </w:r>
          </w:p>
        </w:tc>
      </w:tr>
      <w:tr>
        <w:tc>
          <w:tcPr>
            <w:tcW w:w="5280" w:type="dxa"/>
          </w:tcPr>
          <w:tcPr/>
          <w:tcPr>
            <w:tcW w:w="5280" w:type="dxa"/>
          </w:tcPr>
          <w:p>
            <w:pPr>
              <w:pStyle w:val="Compact"/>
            </w:pPr>
            <w:r>
              <w:t xml:space="preserve">Цель 3: Качество базы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17 ч/мес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>
            <w:tcW w:w="5280" w:type="dxa"/>
          </w:tcPr>
          <w:tcPr/>
          <w:tcPr>
            <w:tcW w:w="52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92 ч/мес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</w:p>
    <w:p>
      <w:pPr>
        <w:pStyle w:val="Compact"/>
        <w:numPr>
          <w:ilvl w:val="0"/>
          <w:numId w:val="1026"/>
        </w:numPr>
      </w:pPr>
      <w:r>
        <w:t xml:space="preserve">Цель 1:</w:t>
      </w:r>
    </w:p>
    <w:p>
      <w:pPr>
        <w:pStyle w:val="Compact"/>
        <w:numPr>
          <w:ilvl w:val="1"/>
          <w:numId w:val="1027"/>
        </w:numPr>
      </w:pPr>
      <w:r>
        <w:t xml:space="preserve">AUTO-035</w:t>
      </w:r>
    </w:p>
    <w:p>
      <w:pPr>
        <w:pStyle w:val="Compact"/>
        <w:numPr>
          <w:ilvl w:val="1"/>
          <w:numId w:val="1027"/>
        </w:numPr>
      </w:pPr>
      <w:r>
        <w:t xml:space="preserve">AUTO-043</w:t>
      </w:r>
    </w:p>
    <w:p>
      <w:pPr>
        <w:pStyle w:val="Compact"/>
        <w:numPr>
          <w:ilvl w:val="1"/>
          <w:numId w:val="1027"/>
        </w:numPr>
      </w:pPr>
      <w:r>
        <w:t xml:space="preserve">AUTO-044</w:t>
      </w:r>
    </w:p>
    <w:p>
      <w:pPr>
        <w:pStyle w:val="Compact"/>
        <w:numPr>
          <w:ilvl w:val="0"/>
          <w:numId w:val="1026"/>
        </w:numPr>
      </w:pPr>
      <w:r>
        <w:t xml:space="preserve">Цель 2:</w:t>
      </w:r>
    </w:p>
    <w:p>
      <w:pPr>
        <w:pStyle w:val="Compact"/>
        <w:numPr>
          <w:ilvl w:val="1"/>
          <w:numId w:val="1028"/>
        </w:numPr>
      </w:pPr>
      <w:r>
        <w:t xml:space="preserve">используются из Цели 1</w:t>
      </w:r>
    </w:p>
    <w:p>
      <w:pPr>
        <w:pStyle w:val="Compact"/>
        <w:numPr>
          <w:ilvl w:val="0"/>
          <w:numId w:val="1026"/>
        </w:numPr>
      </w:pPr>
      <w:r>
        <w:t xml:space="preserve">Цель 3:</w:t>
      </w:r>
    </w:p>
    <w:p>
      <w:pPr>
        <w:pStyle w:val="Compact"/>
        <w:numPr>
          <w:ilvl w:val="1"/>
          <w:numId w:val="1029"/>
        </w:numPr>
      </w:pPr>
      <w:r>
        <w:t xml:space="preserve">AUTO-043</w:t>
      </w:r>
    </w:p>
    <w:p>
      <w:pPr>
        <w:pStyle w:val="Compact"/>
        <w:numPr>
          <w:ilvl w:val="1"/>
          <w:numId w:val="1029"/>
        </w:numPr>
      </w:pPr>
      <w:r>
        <w:t xml:space="preserve">AUTO-046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2026-02-28T21:08:39Z</dcterms:created>
  <dcterms:modified xsi:type="dcterms:W3CDTF">2026-02-28T21:08:39Z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