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0eeb5bf11c762b8ec02d917c12482648c795717"/>
    <w:p>
      <w:pPr>
        <w:pStyle w:val="Heading1"/>
      </w:pPr>
      <w:r>
        <w:t xml:space="preserve">ДЕПАРТАМЕНТ ПО УПРАВЛЕНИЮ ОПЕРАЦИОННЫМИ ДОХОДАМИ</w:t>
      </w:r>
    </w:p>
    <w:p>
      <w:pPr>
        <w:pStyle w:val="FirstParagraph"/>
      </w:pPr>
      <w:r>
        <w:rPr>
          <w:b/>
          <w:bCs/>
        </w:rPr>
        <w:t xml:space="preserve">Руководитель:</w:t>
      </w:r>
      <w:r>
        <w:t xml:space="preserve"> </w:t>
      </w:r>
      <w:r>
        <w:t xml:space="preserve">Баландина Ольга Александровна</w:t>
      </w:r>
    </w:p>
    <w:p>
      <w:pPr>
        <w:pStyle w:val="BodyText"/>
      </w:pPr>
      <w:r>
        <w:rPr>
          <w:b/>
          <w:bCs/>
        </w:rPr>
        <w:t xml:space="preserve">Штат:</w:t>
      </w:r>
      <w:r>
        <w:t xml:space="preserve"> </w:t>
      </w:r>
      <w:r>
        <w:t xml:space="preserve">22 сотрудника</w:t>
      </w:r>
    </w:p>
    <w:p>
      <w:r>
        <w:pict>
          <v:rect style="width:0;height:1.5pt" o:hralign="center" o:hrstd="t" o:hr="t"/>
        </w:pict>
      </w:r>
    </w:p>
    <w:bookmarkStart w:id="9" w:name="цель-1-критическая"/>
    <w:p>
      <w:pPr>
        <w:pStyle w:val="Heading2"/>
      </w:pPr>
      <w:r>
        <w:t xml:space="preserve">ЦЕЛЬ 1 (КРИТИЧЕСКАЯ)</w:t>
      </w:r>
    </w:p>
    <w:p>
      <w:pPr>
        <w:pStyle w:val="FirstParagraph"/>
      </w:pPr>
      <w:r>
        <w:t xml:space="preserve">Увеличить маржинальность туристического продукта на 2 п.п. (с 12% до 14%) к 31.12.2026 через оптимизацию закупочных условий с поставщиками и динамическое ценообразование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Формирование продуктового портфеля компании</w:t>
      </w:r>
    </w:p>
    <w:p>
      <w:pPr>
        <w:pStyle w:val="Compact"/>
        <w:numPr>
          <w:ilvl w:val="1"/>
          <w:numId w:val="1002"/>
        </w:numPr>
      </w:pPr>
      <w:r>
        <w:t xml:space="preserve">→ Отдел продукта — Ближний Восток (рук. Андреева): формирование плана действий на год, квартал, месяц</w:t>
      </w:r>
    </w:p>
    <w:p>
      <w:pPr>
        <w:pStyle w:val="Compact"/>
        <w:numPr>
          <w:ilvl w:val="1"/>
          <w:numId w:val="1002"/>
        </w:numPr>
      </w:pPr>
      <w:r>
        <w:t xml:space="preserve">→ Отдел продукта — Ближний Восток (рук. Андреева): формирование туристического продукта</w:t>
      </w:r>
    </w:p>
    <w:p>
      <w:pPr>
        <w:pStyle w:val="Compact"/>
        <w:numPr>
          <w:ilvl w:val="1"/>
          <w:numId w:val="1002"/>
        </w:numPr>
      </w:pPr>
      <w:r>
        <w:t xml:space="preserve">→ Отдел продукта — Ближний Восток (рук. Андреева): поддержание жизнедеятельности продукта</w:t>
      </w:r>
    </w:p>
    <w:p>
      <w:pPr>
        <w:pStyle w:val="Compact"/>
        <w:numPr>
          <w:ilvl w:val="1"/>
          <w:numId w:val="1002"/>
        </w:numPr>
      </w:pPr>
      <w:r>
        <w:t xml:space="preserve">→ Отдел продукта — Экзотика (рук. Цехович): создание и разработка турпродукта</w:t>
      </w:r>
    </w:p>
    <w:p>
      <w:pPr>
        <w:pStyle w:val="Compact"/>
        <w:numPr>
          <w:ilvl w:val="1"/>
          <w:numId w:val="1002"/>
        </w:numPr>
      </w:pPr>
      <w:r>
        <w:t xml:space="preserve">→ Отдел продукта — Экзотика (рук. Цехович): анализ конкурентоспособности</w:t>
      </w:r>
    </w:p>
    <w:p>
      <w:pPr>
        <w:pStyle w:val="Compact"/>
        <w:numPr>
          <w:ilvl w:val="1"/>
          <w:numId w:val="1002"/>
        </w:numPr>
      </w:pPr>
      <w:r>
        <w:t xml:space="preserve">→ Отдел продукта — Экзотика (рук. Цехович): работа с поставщиками по инсентивам и кик-бекам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Увеличение маржинальности по продукту</w:t>
      </w:r>
    </w:p>
    <w:p>
      <w:pPr>
        <w:pStyle w:val="Compact"/>
        <w:numPr>
          <w:ilvl w:val="1"/>
          <w:numId w:val="1004"/>
        </w:numPr>
      </w:pPr>
      <w:r>
        <w:t xml:space="preserve">→ Отдел продукта — FIT (рук. Писцова): анализ рынка и спроса</w:t>
      </w:r>
    </w:p>
    <w:p>
      <w:pPr>
        <w:pStyle w:val="Compact"/>
        <w:numPr>
          <w:ilvl w:val="1"/>
          <w:numId w:val="1004"/>
        </w:numPr>
      </w:pPr>
      <w:r>
        <w:t xml:space="preserve">→ Отдел продукта — FIT (рук. Писцова): выбор поставщиков наземных и транспортных услуг</w:t>
      </w:r>
    </w:p>
    <w:p>
      <w:pPr>
        <w:pStyle w:val="Compact"/>
        <w:numPr>
          <w:ilvl w:val="1"/>
          <w:numId w:val="1004"/>
        </w:numPr>
      </w:pPr>
      <w:r>
        <w:t xml:space="preserve">→ Отдел продукта — FIT (рук. Писцова): текущий контроль и корректировки продукта</w:t>
      </w:r>
    </w:p>
    <w:p>
      <w:pPr>
        <w:pStyle w:val="Compact"/>
        <w:numPr>
          <w:ilvl w:val="1"/>
          <w:numId w:val="1004"/>
        </w:numPr>
      </w:pPr>
      <w:r>
        <w:t xml:space="preserve">→ Отдел продукта — ЮВА (рук. Черепова): формирование плана действий</w:t>
      </w:r>
    </w:p>
    <w:p>
      <w:pPr>
        <w:pStyle w:val="Compact"/>
        <w:numPr>
          <w:ilvl w:val="1"/>
          <w:numId w:val="1004"/>
        </w:numPr>
      </w:pPr>
      <w:r>
        <w:t xml:space="preserve">→ Отдел продукта — ЮВА (рук. Черепова): работа с поставщиками и авиакомпаниями</w:t>
      </w:r>
    </w:p>
    <w:p>
      <w:pPr>
        <w:pStyle w:val="Compact"/>
        <w:numPr>
          <w:ilvl w:val="1"/>
          <w:numId w:val="1004"/>
        </w:numPr>
      </w:pPr>
      <w:r>
        <w:t xml:space="preserve">→ Отдел продукта — ЮВА (рук. Черепова): эксклюзивные условия и бонусы от партнёров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Оптимизация закупочных условий</w:t>
      </w:r>
    </w:p>
    <w:p>
      <w:pPr>
        <w:pStyle w:val="Compact"/>
        <w:numPr>
          <w:ilvl w:val="1"/>
          <w:numId w:val="1006"/>
        </w:numPr>
      </w:pPr>
      <w:r>
        <w:t xml:space="preserve">→ Чартерная группа (рук. Зайцев): формирование чартерного продукта</w:t>
      </w:r>
    </w:p>
    <w:p>
      <w:pPr>
        <w:pStyle w:val="Compact"/>
        <w:numPr>
          <w:ilvl w:val="1"/>
          <w:numId w:val="1006"/>
        </w:numPr>
      </w:pPr>
      <w:r>
        <w:t xml:space="preserve">→ Чартерная группа (рук. Зайцев): оформление чартерного продукта</w:t>
      </w:r>
    </w:p>
    <w:p>
      <w:pPr>
        <w:pStyle w:val="Compact"/>
        <w:numPr>
          <w:ilvl w:val="1"/>
          <w:numId w:val="1006"/>
        </w:numPr>
      </w:pPr>
      <w:r>
        <w:t xml:space="preserve">→ Чартерная группа (рук. Зайцев): обеспечение конкурентности предложения</w:t>
      </w:r>
    </w:p>
    <w:p>
      <w:pPr>
        <w:pStyle w:val="Compact"/>
        <w:numPr>
          <w:ilvl w:val="1"/>
          <w:numId w:val="1006"/>
        </w:numPr>
      </w:pPr>
      <w:r>
        <w:t xml:space="preserve">→ Чартерная группа (рук. Зайцев): формирование чартерного продукта</w:t>
      </w:r>
    </w:p>
    <w:p>
      <w:pPr>
        <w:pStyle w:val="Compact"/>
        <w:numPr>
          <w:ilvl w:val="1"/>
          <w:numId w:val="1006"/>
        </w:numPr>
      </w:pPr>
      <w:r>
        <w:t xml:space="preserve">→ Чартерная группа (рук. Зайцев): оформление чартерного продукта</w:t>
      </w:r>
    </w:p>
    <w:p>
      <w:pPr>
        <w:pStyle w:val="Compact"/>
        <w:numPr>
          <w:ilvl w:val="1"/>
          <w:numId w:val="1006"/>
        </w:numPr>
      </w:pPr>
      <w:r>
        <w:t xml:space="preserve">→ Чартерная группа (рук. Зайцев): обеспечение конкурентности предложения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07"/>
        </w:numPr>
      </w:pPr>
      <w:r>
        <w:t xml:space="preserve">AUTO-003: Динамическое ценообразование чартеров — 55 ч/мес</w:t>
      </w:r>
    </w:p>
    <w:p>
      <w:pPr>
        <w:pStyle w:val="Compact"/>
        <w:numPr>
          <w:ilvl w:val="0"/>
          <w:numId w:val="1007"/>
        </w:numPr>
      </w:pPr>
      <w:r>
        <w:t xml:space="preserve">AUTO-015: Матчинг гостиниц — 50 ч/мес</w:t>
      </w:r>
    </w:p>
    <w:p>
      <w:pPr>
        <w:pStyle w:val="Compact"/>
        <w:numPr>
          <w:ilvl w:val="0"/>
          <w:numId w:val="1007"/>
        </w:numPr>
      </w:pPr>
      <w:r>
        <w:t xml:space="preserve">AUTO-018: Парсинг цен конкурентов — 28 ч/мес</w:t>
      </w:r>
    </w:p>
    <w:p>
      <w:pPr>
        <w:pStyle w:val="Compact"/>
        <w:numPr>
          <w:ilvl w:val="0"/>
          <w:numId w:val="1007"/>
        </w:numPr>
      </w:pPr>
      <w:r>
        <w:t xml:space="preserve">AUTO-034: Проверка ошибок в тарификации — 17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08"/>
        </w:numPr>
      </w:pPr>
      <w:r>
        <w:t xml:space="preserve">TZ-11: Парсинг цен конкурентов — 150 ч/ч, 450 000 руб.</w:t>
      </w:r>
    </w:p>
    <w:p>
      <w:pPr>
        <w:pStyle w:val="Compact"/>
        <w:numPr>
          <w:ilvl w:val="0"/>
          <w:numId w:val="1008"/>
        </w:numPr>
      </w:pPr>
      <w:r>
        <w:t xml:space="preserve">TZ-13: Динамическое ценообразование — 2 000 ч/ч, 6 000 000 руб.</w:t>
      </w:r>
    </w:p>
    <w:p>
      <w:pPr>
        <w:pStyle w:val="Compact"/>
        <w:numPr>
          <w:ilvl w:val="0"/>
          <w:numId w:val="1008"/>
        </w:numPr>
      </w:pPr>
      <w:r>
        <w:t xml:space="preserve">TZ-17: Матчинг гостиниц — 440 ч/ч, 1 320 000 руб.</w:t>
      </w:r>
    </w:p>
    <w:p>
      <w:r>
        <w:pict>
          <v:rect style="width:0;height:1.5pt" o:hralign="center" o:hrstd="t" o:hr="t"/>
        </w:pict>
      </w:r>
    </w:p>
    <w:bookmarkEnd w:id="9"/>
    <w:bookmarkStart w:id="10" w:name="цель-2"/>
    <w:p>
      <w:pPr>
        <w:pStyle w:val="Heading2"/>
      </w:pPr>
      <w:r>
        <w:t xml:space="preserve">ЦЕЛЬ 2</w:t>
      </w:r>
    </w:p>
    <w:p>
      <w:pPr>
        <w:pStyle w:val="FirstParagraph"/>
      </w:pPr>
      <w:r>
        <w:t xml:space="preserve">Обеспечить 95% доступность актуального продуктового портфеля на сайте к 30.06.2026 через автоматизацию процесса публикации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Обеспечение жизнедеятельности продукта</w:t>
      </w:r>
    </w:p>
    <w:p>
      <w:pPr>
        <w:pStyle w:val="Compact"/>
        <w:numPr>
          <w:ilvl w:val="1"/>
          <w:numId w:val="1010"/>
        </w:numPr>
      </w:pPr>
      <w:r>
        <w:t xml:space="preserve">→ Группа тарификации (рук. Ильясова): расчёт и публикация цен в онлайне</w:t>
      </w:r>
    </w:p>
    <w:p>
      <w:pPr>
        <w:pStyle w:val="Compact"/>
        <w:numPr>
          <w:ilvl w:val="1"/>
          <w:numId w:val="1010"/>
        </w:numPr>
      </w:pPr>
      <w:r>
        <w:t xml:space="preserve">→ Группа тарификации (рук. Ильясова): ценообразование компании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Своевременная публикация цен</w:t>
      </w:r>
    </w:p>
    <w:p>
      <w:pPr>
        <w:pStyle w:val="Compact"/>
        <w:numPr>
          <w:ilvl w:val="1"/>
          <w:numId w:val="1012"/>
        </w:numPr>
      </w:pPr>
      <w:r>
        <w:t xml:space="preserve">→ Группа тарификации (рук. Ильясова): информирование о продлении продукта</w:t>
      </w:r>
    </w:p>
    <w:p>
      <w:pPr>
        <w:pStyle w:val="Compact"/>
        <w:numPr>
          <w:ilvl w:val="1"/>
          <w:numId w:val="1012"/>
        </w:numPr>
      </w:pPr>
      <w:r>
        <w:t xml:space="preserve">→ Группа тарификации (рук. Ильясова): расчёт и публикация цен в онлайне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Актуализация каталога</w:t>
      </w:r>
    </w:p>
    <w:p>
      <w:pPr>
        <w:pStyle w:val="Compact"/>
        <w:numPr>
          <w:ilvl w:val="1"/>
          <w:numId w:val="1014"/>
        </w:numPr>
      </w:pPr>
      <w:r>
        <w:t xml:space="preserve">→ Группа тарификации (рук. Ильясова): ценообразование компании</w:t>
      </w:r>
    </w:p>
    <w:p>
      <w:pPr>
        <w:pStyle w:val="Compact"/>
        <w:numPr>
          <w:ilvl w:val="1"/>
          <w:numId w:val="1014"/>
        </w:numPr>
      </w:pPr>
      <w:r>
        <w:t xml:space="preserve">→ Группа тарификации (рук. Ильясова): информирование о продлении продукта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15"/>
        </w:numPr>
      </w:pPr>
      <w:r>
        <w:t xml:space="preserve">AUTO-016: Ревизия мёртвых туров — 18 ч/мес</w:t>
      </w:r>
    </w:p>
    <w:p>
      <w:pPr>
        <w:pStyle w:val="Compact"/>
        <w:numPr>
          <w:ilvl w:val="0"/>
          <w:numId w:val="1015"/>
        </w:numPr>
      </w:pPr>
      <w:r>
        <w:t xml:space="preserve">AUTO-017: Алерты истечения цен — 15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16"/>
        </w:numPr>
      </w:pPr>
      <w:r>
        <w:t xml:space="preserve">TZ-03: Алерты и отчёты САМО — 66 ч/ч, 198 000 руб.</w:t>
      </w:r>
    </w:p>
    <w:p>
      <w:r>
        <w:pict>
          <v:rect style="width:0;height:1.5pt" o:hralign="center" o:hrstd="t" o:hr="t"/>
        </w:pict>
      </w:r>
    </w:p>
    <w:bookmarkEnd w:id="10"/>
    <w:bookmarkStart w:id="11" w:name="цель-3-критическая"/>
    <w:p>
      <w:pPr>
        <w:pStyle w:val="Heading2"/>
      </w:pPr>
      <w:r>
        <w:t xml:space="preserve">ЦЕЛЬ 3 (КРИТИЧЕСКАЯ)</w:t>
      </w:r>
    </w:p>
    <w:p>
      <w:pPr>
        <w:pStyle w:val="FirstParagraph"/>
      </w:pPr>
      <w:r>
        <w:t xml:space="preserve">Обеспечить диверсификацию продуктового портфеля: индекс концентрации HHI менее 0.25 к 31.12.2026, присутствие в ТОП-5 альтернативных направлений с долей не менее 5% каждое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Формирование продуктового портфеля</w:t>
      </w:r>
    </w:p>
    <w:p>
      <w:pPr>
        <w:pStyle w:val="Compact"/>
        <w:numPr>
          <w:ilvl w:val="1"/>
          <w:numId w:val="1018"/>
        </w:numPr>
      </w:pPr>
      <w:r>
        <w:t xml:space="preserve">→ Отдел продукта — Ближний Восток (рук. Андреева): формирование бюджета и дорожной карты</w:t>
      </w:r>
    </w:p>
    <w:p>
      <w:pPr>
        <w:pStyle w:val="Compact"/>
        <w:numPr>
          <w:ilvl w:val="1"/>
          <w:numId w:val="1018"/>
        </w:numPr>
      </w:pPr>
      <w:r>
        <w:t xml:space="preserve">→ Отдел продукта — Ближний Восток (рук. Андреева): поиск поставщиков для новых направлений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Развитие новых направлений</w:t>
      </w:r>
    </w:p>
    <w:p>
      <w:pPr>
        <w:pStyle w:val="Compact"/>
        <w:numPr>
          <w:ilvl w:val="1"/>
          <w:numId w:val="1020"/>
        </w:numPr>
      </w:pPr>
      <w:r>
        <w:t xml:space="preserve">→ Отдел продукта — Ближний Восток (рук. Андреева): контроль продаж и рентабельности</w:t>
      </w:r>
    </w:p>
    <w:p>
      <w:pPr>
        <w:pStyle w:val="Compact"/>
        <w:numPr>
          <w:ilvl w:val="1"/>
          <w:numId w:val="1020"/>
        </w:numPr>
      </w:pPr>
      <w:r>
        <w:t xml:space="preserve">→ Отдел продукта — Ближний Восток (рук. Андреева): формирование бюджета и дорожной карты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Снижение зависимости от ключевых направлений</w:t>
      </w:r>
    </w:p>
    <w:p>
      <w:pPr>
        <w:pStyle w:val="Compact"/>
        <w:numPr>
          <w:ilvl w:val="1"/>
          <w:numId w:val="1022"/>
        </w:numPr>
      </w:pPr>
      <w:r>
        <w:t xml:space="preserve">→ Отдел продукта — Ближний Восток (рук. Андреева): поиск поставщиков для новых направлений</w:t>
      </w:r>
    </w:p>
    <w:p>
      <w:pPr>
        <w:pStyle w:val="Compact"/>
        <w:numPr>
          <w:ilvl w:val="1"/>
          <w:numId w:val="1022"/>
        </w:numPr>
      </w:pPr>
      <w:r>
        <w:t xml:space="preserve">→ Отдел продукта — Ближний Восток (рук. Андреева): контроль продаж и рентабельности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23"/>
        </w:numPr>
      </w:pPr>
      <w:r>
        <w:t xml:space="preserve">Используются AUTO-015 и AUTO-018 из Цели 1</w:t>
      </w:r>
    </w:p>
    <w:p>
      <w:r>
        <w:pict>
          <v:rect style="width:0;height:1.5pt" o:hralign="center" o:hrstd="t" o:hr="t"/>
        </w:pict>
      </w:r>
    </w:p>
    <w:bookmarkEnd w:id="11"/>
    <w:bookmarkStart w:id="12" w:name="цель-4-критическая"/>
    <w:p>
      <w:pPr>
        <w:pStyle w:val="Heading2"/>
      </w:pPr>
      <w:r>
        <w:t xml:space="preserve">ЦЕЛЬ 4 (КРИТИЧЕСКАЯ)</w:t>
      </w:r>
    </w:p>
    <w:p>
      <w:pPr>
        <w:pStyle w:val="FirstParagraph"/>
      </w:pPr>
      <w:r>
        <w:t xml:space="preserve">Сократить Time-to-Market нового направления до 30 дней к 31.12.2026 (с текущих 60+ дней) — от решения о запуске до первой продажи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Ускорение вывода продукта на рынок</w:t>
      </w:r>
    </w:p>
    <w:p>
      <w:pPr>
        <w:pStyle w:val="Compact"/>
        <w:numPr>
          <w:ilvl w:val="1"/>
          <w:numId w:val="1025"/>
        </w:numPr>
      </w:pPr>
      <w:r>
        <w:t xml:space="preserve">→ Отдел продукта — Экзотика (рук. Цехович): сбор и анализ возможностей</w:t>
      </w:r>
    </w:p>
    <w:p>
      <w:pPr>
        <w:pStyle w:val="Compact"/>
        <w:numPr>
          <w:ilvl w:val="1"/>
          <w:numId w:val="1025"/>
        </w:numPr>
      </w:pPr>
      <w:r>
        <w:t xml:space="preserve">→ Отдел продукта — Экзотика (рук. Цехович): формирование продуктового плана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Оптимизация процессов согласования</w:t>
      </w:r>
    </w:p>
    <w:p>
      <w:pPr>
        <w:pStyle w:val="Compact"/>
        <w:numPr>
          <w:ilvl w:val="1"/>
          <w:numId w:val="1027"/>
        </w:numPr>
      </w:pPr>
      <w:r>
        <w:t xml:space="preserve">→ Отдел продукта — Экзотика (рук. Цехович): переговоры с поставщиками</w:t>
      </w:r>
    </w:p>
    <w:p>
      <w:pPr>
        <w:pStyle w:val="Compact"/>
        <w:numPr>
          <w:ilvl w:val="1"/>
          <w:numId w:val="1027"/>
        </w:numPr>
      </w:pPr>
      <w:r>
        <w:t xml:space="preserve">→ Отдел продукта — Экзотика (рук. Цехович): сбор и анализ возможностей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Стандартизация запуска направлений</w:t>
      </w:r>
    </w:p>
    <w:p>
      <w:pPr>
        <w:pStyle w:val="Compact"/>
        <w:numPr>
          <w:ilvl w:val="1"/>
          <w:numId w:val="1029"/>
        </w:numPr>
      </w:pPr>
      <w:r>
        <w:t xml:space="preserve">→ Отдел продукта — Экзотика (рук. Цехович): формирование продуктового плана</w:t>
      </w:r>
    </w:p>
    <w:p>
      <w:pPr>
        <w:pStyle w:val="Compact"/>
        <w:numPr>
          <w:ilvl w:val="1"/>
          <w:numId w:val="1029"/>
        </w:numPr>
      </w:pPr>
      <w:r>
        <w:t xml:space="preserve">→ Отдел продукта — Экзотика (рук. Цехович): переговоры с поставщиками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30"/>
        </w:numPr>
      </w:pPr>
      <w:r>
        <w:t xml:space="preserve">Используются AUTO-016 и AUTO-017 из Цели 2</w:t>
      </w:r>
    </w:p>
    <w:p>
      <w:r>
        <w:pict>
          <v:rect style="width:0;height:1.5pt" o:hralign="center" o:hrstd="t" o:hr="t"/>
        </w:pict>
      </w:r>
    </w:p>
    <w:bookmarkEnd w:id="12"/>
    <w:bookmarkStart w:id="13" w:name="итоги-по-департаменту"/>
    <w:p>
      <w:pPr>
        <w:pStyle w:val="Heading2"/>
      </w:pPr>
      <w:r>
        <w:t xml:space="preserve">ИТОГИ ПО ДЕПАРТАМЕНТУ</w:t>
      </w:r>
    </w:p>
    <w:p>
      <w:pPr>
        <w:pStyle w:val="FirstParagraph"/>
      </w:pPr>
      <w:r>
        <w:rPr>
          <w:b/>
          <w:bCs/>
        </w:rPr>
        <w:t xml:space="preserve">Таблица 1. Расчёт экономии времени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871"/>
        <w:gridCol w:w="3048"/>
        <w:gridCol w:w="1742"/>
        <w:gridCol w:w="780"/>
        <w:gridCol w:w="3157"/>
      </w:tblGrid>
      <w:tr>
        <w:trPr>
          <w:tblHeader w:val="on"/>
        </w:trPr>
        <w:tc>
          <w:tcPr>
            <w:tcW w:w="871" w:type="dxa"/>
            <w:shd w:val="clear" w:color="auto" w:fill="D9E2F3"/>
          </w:tcPr>
          <w:tcPr/>
          <w:tcPr>
            <w:tcW w:w="871" w:type="dxa"/>
            <w:shd w:val="clear" w:color="auto" w:fill="D9E2F3"/>
          </w:tcPr>
          <w:p>
            <w:pPr>
              <w:pStyle w:val="Compact"/>
            </w:pPr>
            <w:r>
              <w:t xml:space="preserve">AUTO</w:t>
            </w:r>
          </w:p>
        </w:tc>
        <w:tc>
          <w:tcPr>
            <w:tcW w:w="3048" w:type="dxa"/>
            <w:shd w:val="clear" w:color="auto" w:fill="D9E2F3"/>
          </w:tcPr>
          <w:tcPr/>
          <w:tcPr>
            <w:tcW w:w="3048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1742" w:type="dxa"/>
            <w:shd w:val="clear" w:color="auto" w:fill="D9E2F3"/>
          </w:tcPr>
          <w:tcPr/>
          <w:tcPr>
            <w:tcW w:w="1742" w:type="dxa"/>
            <w:shd w:val="clear" w:color="auto" w:fill="D9E2F3"/>
          </w:tcPr>
          <w:p>
            <w:pPr>
              <w:pStyle w:val="Compact"/>
            </w:pPr>
            <w:r>
              <w:t xml:space="preserve">Экономия (ч/мес)</w:t>
            </w:r>
          </w:p>
        </w:tc>
        <w:tc>
          <w:tcPr>
            <w:tcW w:w="780" w:type="dxa"/>
            <w:shd w:val="clear" w:color="auto" w:fill="D9E2F3"/>
          </w:tcPr>
          <w:tcPr/>
          <w:tcPr>
            <w:tcW w:w="780" w:type="dxa"/>
            <w:shd w:val="clear" w:color="auto" w:fill="D9E2F3"/>
          </w:tcPr>
          <w:p>
            <w:pPr>
              <w:pStyle w:val="Compact"/>
            </w:pPr>
            <w:r>
              <w:t xml:space="preserve">ТЗ</w:t>
            </w:r>
          </w:p>
        </w:tc>
        <w:tc>
          <w:tcPr>
            <w:tcW w:w="3157" w:type="dxa"/>
            <w:shd w:val="clear" w:color="auto" w:fill="D9E2F3"/>
          </w:tcPr>
          <w:tcPr/>
          <w:tcPr>
            <w:tcW w:w="3157" w:type="dxa"/>
            <w:shd w:val="clear" w:color="auto" w:fill="D9E2F3"/>
          </w:tcPr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>
            <w:tcW w:w="871" w:type="dxa"/>
          </w:tcPr>
          <w:tcPr/>
          <w:tcPr>
            <w:tcW w:w="871" w:type="dxa"/>
          </w:tcPr>
          <w:p>
            <w:pPr>
              <w:pStyle w:val="Compact"/>
            </w:pPr>
            <w:r>
              <w:t xml:space="preserve">AUTO-003</w:t>
            </w:r>
          </w:p>
        </w:tc>
        <w:tc>
          <w:tcPr>
            <w:tcW w:w="3048" w:type="dxa"/>
          </w:tcPr>
          <w:tcPr/>
          <w:tcPr>
            <w:tcW w:w="3048" w:type="dxa"/>
          </w:tcPr>
          <w:p>
            <w:pPr>
              <w:pStyle w:val="Compact"/>
            </w:pPr>
            <w:r>
              <w:t xml:space="preserve">Динамическое ценообразование</w:t>
            </w:r>
          </w:p>
        </w:tc>
        <w:tc>
          <w:tcPr>
            <w:tcW w:w="1742" w:type="dxa"/>
          </w:tcPr>
          <w:tcPr/>
          <w:tcPr>
            <w:tcW w:w="1742" w:type="dxa"/>
          </w:tcPr>
          <w:p>
            <w:pPr>
              <w:pStyle w:val="Compact"/>
            </w:pPr>
            <w:r>
              <w:t xml:space="preserve">55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TZ-13</w:t>
            </w:r>
          </w:p>
        </w:tc>
        <w:tc>
          <w:tcPr>
            <w:tcW w:w="3157" w:type="dxa"/>
          </w:tcPr>
          <w:tcPr/>
          <w:tcPr>
            <w:tcW w:w="3157" w:type="dxa"/>
          </w:tcPr>
          <w:p>
            <w:pPr>
              <w:pStyle w:val="Compact"/>
            </w:pPr>
            <w:r>
              <w:t xml:space="preserve">Анкета L2: Чартерная группа</w:t>
            </w:r>
          </w:p>
        </w:tc>
      </w:tr>
      <w:tr>
        <w:tc>
          <w:tcPr>
            <w:tcW w:w="871" w:type="dxa"/>
          </w:tcPr>
          <w:tcPr/>
          <w:tcPr>
            <w:tcW w:w="871" w:type="dxa"/>
          </w:tcPr>
          <w:p>
            <w:pPr>
              <w:pStyle w:val="Compact"/>
            </w:pPr>
            <w:r>
              <w:t xml:space="preserve">AUTO-015</w:t>
            </w:r>
          </w:p>
        </w:tc>
        <w:tc>
          <w:tcPr>
            <w:tcW w:w="3048" w:type="dxa"/>
          </w:tcPr>
          <w:tcPr/>
          <w:tcPr>
            <w:tcW w:w="3048" w:type="dxa"/>
          </w:tcPr>
          <w:p>
            <w:pPr>
              <w:pStyle w:val="Compact"/>
            </w:pPr>
            <w:r>
              <w:t xml:space="preserve">Матчинг гостиниц</w:t>
            </w:r>
          </w:p>
        </w:tc>
        <w:tc>
          <w:tcPr>
            <w:tcW w:w="1742" w:type="dxa"/>
          </w:tcPr>
          <w:tcPr/>
          <w:tcPr>
            <w:tcW w:w="1742" w:type="dxa"/>
          </w:tcPr>
          <w:p>
            <w:pPr>
              <w:pStyle w:val="Compact"/>
            </w:pPr>
            <w:r>
              <w:t xml:space="preserve">50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TZ-17</w:t>
            </w:r>
          </w:p>
        </w:tc>
        <w:tc>
          <w:tcPr>
            <w:tcW w:w="3157" w:type="dxa"/>
          </w:tcPr>
          <w:tcPr/>
          <w:tcPr>
            <w:tcW w:w="3157" w:type="dxa"/>
          </w:tcPr>
          <w:p>
            <w:pPr>
              <w:pStyle w:val="Compact"/>
            </w:pPr>
            <w:r>
              <w:t xml:space="preserve">Анкета L2: Группа тарификации</w:t>
            </w:r>
          </w:p>
        </w:tc>
      </w:tr>
      <w:tr>
        <w:tc>
          <w:tcPr>
            <w:tcW w:w="871" w:type="dxa"/>
          </w:tcPr>
          <w:tcPr/>
          <w:tcPr>
            <w:tcW w:w="871" w:type="dxa"/>
          </w:tcPr>
          <w:p>
            <w:pPr>
              <w:pStyle w:val="Compact"/>
            </w:pPr>
            <w:r>
              <w:t xml:space="preserve">AUTO-016</w:t>
            </w:r>
          </w:p>
        </w:tc>
        <w:tc>
          <w:tcPr>
            <w:tcW w:w="3048" w:type="dxa"/>
          </w:tcPr>
          <w:tcPr/>
          <w:tcPr>
            <w:tcW w:w="3048" w:type="dxa"/>
          </w:tcPr>
          <w:p>
            <w:pPr>
              <w:pStyle w:val="Compact"/>
            </w:pPr>
            <w:r>
              <w:t xml:space="preserve">Ревизия мёртвых туров</w:t>
            </w:r>
          </w:p>
        </w:tc>
        <w:tc>
          <w:tcPr>
            <w:tcW w:w="1742" w:type="dxa"/>
          </w:tcPr>
          <w:tcPr/>
          <w:tcPr>
            <w:tcW w:w="1742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TZ-03</w:t>
            </w:r>
          </w:p>
        </w:tc>
        <w:tc>
          <w:tcPr>
            <w:tcW w:w="3157" w:type="dxa"/>
          </w:tcPr>
          <w:tcPr/>
          <w:tcPr>
            <w:tcW w:w="3157" w:type="dxa"/>
          </w:tcPr>
          <w:p>
            <w:pPr>
              <w:pStyle w:val="Compact"/>
            </w:pPr>
            <w:r>
              <w:t xml:space="preserve">Анкета L2: Группа тарификации</w:t>
            </w:r>
          </w:p>
        </w:tc>
      </w:tr>
      <w:tr>
        <w:tc>
          <w:tcPr>
            <w:tcW w:w="871" w:type="dxa"/>
          </w:tcPr>
          <w:tcPr/>
          <w:tcPr>
            <w:tcW w:w="871" w:type="dxa"/>
          </w:tcPr>
          <w:p>
            <w:pPr>
              <w:pStyle w:val="Compact"/>
            </w:pPr>
            <w:r>
              <w:t xml:space="preserve">AUTO-017</w:t>
            </w:r>
          </w:p>
        </w:tc>
        <w:tc>
          <w:tcPr>
            <w:tcW w:w="3048" w:type="dxa"/>
          </w:tcPr>
          <w:tcPr/>
          <w:tcPr>
            <w:tcW w:w="3048" w:type="dxa"/>
          </w:tcPr>
          <w:p>
            <w:pPr>
              <w:pStyle w:val="Compact"/>
            </w:pPr>
            <w:r>
              <w:t xml:space="preserve">Алерты истечения цен</w:t>
            </w:r>
          </w:p>
        </w:tc>
        <w:tc>
          <w:tcPr>
            <w:tcW w:w="1742" w:type="dxa"/>
          </w:tcPr>
          <w:tcPr/>
          <w:tcPr>
            <w:tcW w:w="1742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TZ-03</w:t>
            </w:r>
          </w:p>
        </w:tc>
        <w:tc>
          <w:tcPr>
            <w:tcW w:w="3157" w:type="dxa"/>
          </w:tcPr>
          <w:tcPr/>
          <w:tcPr>
            <w:tcW w:w="3157" w:type="dxa"/>
          </w:tcPr>
          <w:p>
            <w:pPr>
              <w:pStyle w:val="Compact"/>
            </w:pPr>
            <w:r>
              <w:t xml:space="preserve">Анкета L2: Группа тарификации</w:t>
            </w:r>
          </w:p>
        </w:tc>
      </w:tr>
      <w:tr>
        <w:tc>
          <w:tcPr>
            <w:tcW w:w="871" w:type="dxa"/>
          </w:tcPr>
          <w:tcPr/>
          <w:tcPr>
            <w:tcW w:w="871" w:type="dxa"/>
          </w:tcPr>
          <w:p>
            <w:pPr>
              <w:pStyle w:val="Compact"/>
            </w:pPr>
            <w:r>
              <w:t xml:space="preserve">AUTO-018</w:t>
            </w:r>
          </w:p>
        </w:tc>
        <w:tc>
          <w:tcPr>
            <w:tcW w:w="3048" w:type="dxa"/>
          </w:tcPr>
          <w:tcPr/>
          <w:tcPr>
            <w:tcW w:w="3048" w:type="dxa"/>
          </w:tcPr>
          <w:p>
            <w:pPr>
              <w:pStyle w:val="Compact"/>
            </w:pPr>
            <w:r>
              <w:t xml:space="preserve">Парсинг цен конкурентов</w:t>
            </w:r>
          </w:p>
        </w:tc>
        <w:tc>
          <w:tcPr>
            <w:tcW w:w="1742" w:type="dxa"/>
          </w:tcPr>
          <w:tcPr/>
          <w:tcPr>
            <w:tcW w:w="1742" w:type="dxa"/>
          </w:tcPr>
          <w:p>
            <w:pPr>
              <w:pStyle w:val="Compact"/>
            </w:pPr>
            <w:r>
              <w:t xml:space="preserve">28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TZ-11</w:t>
            </w:r>
          </w:p>
        </w:tc>
        <w:tc>
          <w:tcPr>
            <w:tcW w:w="3157" w:type="dxa"/>
          </w:tcPr>
          <w:tcPr/>
          <w:tcPr>
            <w:tcW w:w="3157" w:type="dxa"/>
          </w:tcPr>
          <w:p>
            <w:pPr>
              <w:pStyle w:val="Compact"/>
            </w:pPr>
            <w:r>
              <w:t xml:space="preserve">Анкета L2: Отдел продукта</w:t>
            </w:r>
          </w:p>
        </w:tc>
      </w:tr>
      <w:tr>
        <w:tc>
          <w:tcPr>
            <w:tcW w:w="871" w:type="dxa"/>
          </w:tcPr>
          <w:tcPr/>
          <w:tcPr>
            <w:tcW w:w="871" w:type="dxa"/>
          </w:tcPr>
          <w:p>
            <w:pPr>
              <w:pStyle w:val="Compact"/>
            </w:pPr>
            <w:r>
              <w:t xml:space="preserve">AUTO-034</w:t>
            </w:r>
          </w:p>
        </w:tc>
        <w:tc>
          <w:tcPr>
            <w:tcW w:w="3048" w:type="dxa"/>
          </w:tcPr>
          <w:tcPr/>
          <w:tcPr>
            <w:tcW w:w="3048" w:type="dxa"/>
          </w:tcPr>
          <w:p>
            <w:pPr>
              <w:pStyle w:val="Compact"/>
            </w:pPr>
            <w:r>
              <w:t xml:space="preserve">Проверка ошибок тарификации</w:t>
            </w:r>
          </w:p>
        </w:tc>
        <w:tc>
          <w:tcPr>
            <w:tcW w:w="1742" w:type="dxa"/>
          </w:tcPr>
          <w:tcPr/>
          <w:tcPr>
            <w:tcW w:w="1742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TZ-03</w:t>
            </w:r>
          </w:p>
        </w:tc>
        <w:tc>
          <w:tcPr>
            <w:tcW w:w="3157" w:type="dxa"/>
          </w:tcPr>
          <w:tcPr/>
          <w:tcPr>
            <w:tcW w:w="3157" w:type="dxa"/>
          </w:tcPr>
          <w:p>
            <w:pPr>
              <w:pStyle w:val="Compact"/>
            </w:pPr>
            <w:r>
              <w:t xml:space="preserve">Анкета L2: Группа тарификации</w:t>
            </w:r>
          </w:p>
        </w:tc>
      </w:tr>
      <w:tr>
        <w:tc>
          <w:tcPr>
            <w:tcW w:w="871" w:type="dxa"/>
          </w:tcPr>
          <w:tcPr/>
          <w:tcPr>
            <w:tcW w:w="87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3048" w:type="dxa"/>
          </w:tcPr>
          <w:tcPr/>
          <w:tcPr>
            <w:tcW w:w="3048" w:type="dxa"/>
          </w:tcPr>
          <w:p>
            <w:pPr>
              <w:pStyle w:val="Compact"/>
            </w:pPr>
          </w:p>
        </w:tc>
        <w:tc>
          <w:tcPr>
            <w:tcW w:w="1742" w:type="dxa"/>
          </w:tcPr>
          <w:tcPr/>
          <w:tcPr>
            <w:tcW w:w="17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183 ч/мес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</w:p>
        </w:tc>
        <w:tc>
          <w:tcPr>
            <w:tcW w:w="3157" w:type="dxa"/>
          </w:tcPr>
          <w:tcPr/>
          <w:tcPr>
            <w:tcW w:w="3157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Формула:</w:t>
      </w:r>
    </w:p>
    <w:p>
      <w:pPr>
        <w:pStyle w:val="Compact"/>
        <w:numPr>
          <w:ilvl w:val="0"/>
          <w:numId w:val="1031"/>
        </w:numPr>
      </w:pPr>
      <w:r>
        <w:t xml:space="preserve">55+50+18+15+28+17 = 183 ч/мес</w:t>
      </w:r>
    </w:p>
    <w:p>
      <w:pPr>
        <w:pStyle w:val="FirstParagraph"/>
      </w:pPr>
      <w:r>
        <w:rPr>
          <w:b/>
          <w:bCs/>
        </w:rPr>
        <w:t xml:space="preserve">Таблица 2. Расчёт стоимости экономии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066"/>
        <w:gridCol w:w="2266"/>
        <w:gridCol w:w="2533"/>
        <w:gridCol w:w="1733"/>
      </w:tblGrid>
      <w:tr>
        <w:trPr>
          <w:tblHeader w:val="on"/>
        </w:trPr>
        <w:tc>
          <w:tcPr>
            <w:tcW w:w="3066" w:type="dxa"/>
            <w:shd w:val="clear" w:color="auto" w:fill="D9E2F3"/>
          </w:tcPr>
          <w:tcPr/>
          <w:tcPr>
            <w:tcW w:w="3066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2266" w:type="dxa"/>
            <w:shd w:val="clear" w:color="auto" w:fill="D9E2F3"/>
          </w:tcPr>
          <w:tcPr/>
          <w:tcPr>
            <w:tcW w:w="2266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  <w:tc>
          <w:tcPr>
            <w:tcW w:w="2533" w:type="dxa"/>
            <w:shd w:val="clear" w:color="auto" w:fill="D9E2F3"/>
          </w:tcPr>
          <w:tcPr/>
          <w:tcPr>
            <w:tcW w:w="2533" w:type="dxa"/>
            <w:shd w:val="clear" w:color="auto" w:fill="D9E2F3"/>
          </w:tcPr>
          <w:p>
            <w:pPr>
              <w:pStyle w:val="Compact"/>
            </w:pPr>
            <w:r>
              <w:t xml:space="preserve">Формула</w:t>
            </w:r>
          </w:p>
        </w:tc>
        <w:tc>
          <w:tcPr>
            <w:tcW w:w="1733" w:type="dxa"/>
            <w:shd w:val="clear" w:color="auto" w:fill="D9E2F3"/>
          </w:tcPr>
          <w:tcPr/>
          <w:tcPr>
            <w:tcW w:w="1733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>
            <w:tcW w:w="3066" w:type="dxa"/>
          </w:tcPr>
          <w:tcPr/>
          <w:tcPr>
            <w:tcW w:w="3066" w:type="dxa"/>
          </w:tcPr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>
            <w:tcW w:w="2266" w:type="dxa"/>
          </w:tcPr>
          <w:tcPr/>
          <w:tcPr>
            <w:tcW w:w="2266" w:type="dxa"/>
          </w:tcPr>
          <w:p>
            <w:pPr>
              <w:pStyle w:val="Compact"/>
            </w:pPr>
            <w:r>
              <w:t xml:space="preserve">183 ч/мес</w:t>
            </w:r>
          </w:p>
        </w:tc>
        <w:tc>
          <w:tcPr>
            <w:tcW w:w="2533" w:type="dxa"/>
          </w:tcPr>
          <w:tcPr/>
          <w:tcPr>
            <w:tcW w:w="2533" w:type="dxa"/>
          </w:tcPr>
          <w:p>
            <w:pPr>
              <w:pStyle w:val="Compact"/>
            </w:pPr>
            <w:r>
              <w:t xml:space="preserve">Таблица 1, итого</w:t>
            </w:r>
          </w:p>
        </w:tc>
        <w:tc>
          <w:tcPr>
            <w:tcW w:w="1733" w:type="dxa"/>
          </w:tcPr>
          <w:tcPr/>
          <w:tcPr>
            <w:tcW w:w="1733" w:type="dxa"/>
          </w:tcPr>
          <w:p>
            <w:pPr>
              <w:pStyle w:val="Compact"/>
            </w:pPr>
            <w:r>
              <w:t xml:space="preserve">Анкеты L2</w:t>
            </w:r>
          </w:p>
        </w:tc>
      </w:tr>
      <w:tr>
        <w:tc>
          <w:tcPr>
            <w:tcW w:w="3066" w:type="dxa"/>
          </w:tcPr>
          <w:tcPr/>
          <w:tcPr>
            <w:tcW w:w="3066" w:type="dxa"/>
          </w:tcPr>
          <w:p>
            <w:pPr>
              <w:pStyle w:val="Compact"/>
            </w:pPr>
            <w:r>
              <w:t xml:space="preserve">Ставка L3 (исполнители)</w:t>
            </w:r>
          </w:p>
        </w:tc>
        <w:tc>
          <w:tcPr>
            <w:tcW w:w="2266" w:type="dxa"/>
          </w:tcPr>
          <w:tcPr/>
          <w:tcPr>
            <w:tcW w:w="2266" w:type="dxa"/>
          </w:tcPr>
          <w:p>
            <w:pPr>
              <w:pStyle w:val="Compact"/>
            </w:pPr>
            <w:r>
              <w:t xml:space="preserve">595 руб/час</w:t>
            </w:r>
          </w:p>
        </w:tc>
        <w:tc>
          <w:tcPr>
            <w:tcW w:w="2533" w:type="dxa"/>
          </w:tcPr>
          <w:tcPr/>
          <w:tcPr>
            <w:tcW w:w="2533" w:type="dxa"/>
          </w:tcPr>
          <w:p>
            <w:pPr>
              <w:pStyle w:val="Compact"/>
            </w:pPr>
            <w:r>
              <w:t xml:space="preserve">104 000 руб / 176 ч</w:t>
            </w:r>
          </w:p>
        </w:tc>
        <w:tc>
          <w:tcPr>
            <w:tcW w:w="1733" w:type="dxa"/>
          </w:tcPr>
          <w:tcPr/>
          <w:tcPr>
            <w:tcW w:w="1733" w:type="dxa"/>
          </w:tcPr>
          <w:p>
            <w:pPr>
              <w:pStyle w:val="Compact"/>
            </w:pPr>
            <w:r>
              <w:t xml:space="preserve">Средняя ЗП L3</w:t>
            </w:r>
          </w:p>
        </w:tc>
      </w:tr>
      <w:tr>
        <w:tc>
          <w:tcPr>
            <w:tcW w:w="3066" w:type="dxa"/>
          </w:tcPr>
          <w:tcPr/>
          <w:tcPr>
            <w:tcW w:w="3066" w:type="dxa"/>
          </w:tcPr>
          <w:p>
            <w:pPr>
              <w:pStyle w:val="Compact"/>
            </w:pPr>
            <w:r>
              <w:t xml:space="preserve">Экономия в рублях</w:t>
            </w:r>
          </w:p>
        </w:tc>
        <w:tc>
          <w:tcPr>
            <w:tcW w:w="2266" w:type="dxa"/>
          </w:tcPr>
          <w:tcPr/>
          <w:tcPr>
            <w:tcW w:w="2266" w:type="dxa"/>
          </w:tcPr>
          <w:p>
            <w:pPr>
              <w:pStyle w:val="Compact"/>
            </w:pPr>
            <w:r>
              <w:t xml:space="preserve">108 885 руб/мес</w:t>
            </w:r>
          </w:p>
        </w:tc>
        <w:tc>
          <w:tcPr>
            <w:tcW w:w="2533" w:type="dxa"/>
          </w:tcPr>
          <w:tcPr/>
          <w:tcPr>
            <w:tcW w:w="2533" w:type="dxa"/>
          </w:tcPr>
          <w:p>
            <w:pPr>
              <w:pStyle w:val="Compact"/>
            </w:pPr>
            <w:r>
              <w:t xml:space="preserve">183 ч × 595 руб</w:t>
            </w:r>
          </w:p>
        </w:tc>
        <w:tc>
          <w:tcPr>
            <w:tcW w:w="1733" w:type="dxa"/>
          </w:tcPr>
          <w:tcPr/>
          <w:tcPr>
            <w:tcW w:w="1733" w:type="dxa"/>
          </w:tcPr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>
            <w:tcW w:w="3066" w:type="dxa"/>
          </w:tcPr>
          <w:tcPr/>
          <w:tcPr>
            <w:tcW w:w="3066" w:type="dxa"/>
          </w:tcPr>
          <w:p>
            <w:pPr>
              <w:pStyle w:val="Compact"/>
            </w:pPr>
            <w:r>
              <w:t xml:space="preserve">Экономия в год</w:t>
            </w:r>
          </w:p>
        </w:tc>
        <w:tc>
          <w:tcPr>
            <w:tcW w:w="2266" w:type="dxa"/>
          </w:tcPr>
          <w:tcPr/>
          <w:tcPr>
            <w:tcW w:w="2266" w:type="dxa"/>
          </w:tcPr>
          <w:p>
            <w:pPr>
              <w:pStyle w:val="Compact"/>
            </w:pPr>
            <w:r>
              <w:t xml:space="preserve">1 306 620 руб/год</w:t>
            </w:r>
          </w:p>
        </w:tc>
        <w:tc>
          <w:tcPr>
            <w:tcW w:w="2533" w:type="dxa"/>
          </w:tcPr>
          <w:tcPr/>
          <w:tcPr>
            <w:tcW w:w="2533" w:type="dxa"/>
          </w:tcPr>
          <w:p>
            <w:pPr>
              <w:pStyle w:val="Compact"/>
            </w:pPr>
            <w:r>
              <w:t xml:space="preserve">108 885 × 12 мес</w:t>
            </w:r>
          </w:p>
        </w:tc>
        <w:tc>
          <w:tcPr>
            <w:tcW w:w="1733" w:type="dxa"/>
          </w:tcPr>
          <w:tcPr/>
          <w:tcPr>
            <w:tcW w:w="1733" w:type="dxa"/>
          </w:tcPr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3. Связанные ТЗ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263"/>
        <w:gridCol w:w="7073"/>
        <w:gridCol w:w="1263"/>
      </w:tblGrid>
      <w:tr>
        <w:trPr>
          <w:tblHeader w:val="on"/>
        </w:trPr>
        <w:tc>
          <w:tcPr>
            <w:tcW w:w="1263" w:type="dxa"/>
            <w:shd w:val="clear" w:color="auto" w:fill="D9E2F3"/>
          </w:tcPr>
          <w:tcPr/>
          <w:tcPr>
            <w:tcW w:w="1263" w:type="dxa"/>
            <w:shd w:val="clear" w:color="auto" w:fill="D9E2F3"/>
          </w:tcPr>
          <w:p>
            <w:pPr>
              <w:pStyle w:val="Compact"/>
            </w:pPr>
            <w:r>
              <w:t xml:space="preserve">ТЗ</w:t>
            </w:r>
          </w:p>
        </w:tc>
        <w:tc>
          <w:tcPr>
            <w:tcW w:w="7073" w:type="dxa"/>
            <w:shd w:val="clear" w:color="auto" w:fill="D9E2F3"/>
          </w:tcPr>
          <w:tcPr/>
          <w:tcPr>
            <w:tcW w:w="7073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1263" w:type="dxa"/>
            <w:shd w:val="clear" w:color="auto" w:fill="D9E2F3"/>
          </w:tcPr>
          <w:tcPr/>
          <w:tcPr>
            <w:tcW w:w="1263" w:type="dxa"/>
            <w:shd w:val="clear" w:color="auto" w:fill="D9E2F3"/>
          </w:tcPr>
          <w:p>
            <w:pPr>
              <w:pStyle w:val="Compact"/>
            </w:pPr>
            <w:r>
              <w:t xml:space="preserve">Волна</w:t>
            </w:r>
          </w:p>
        </w:tc>
      </w:tr>
      <w:tr>
        <w:tc>
          <w:tcPr>
            <w:tcW w:w="1263" w:type="dxa"/>
          </w:tcPr>
          <w:tcPr/>
          <w:tcPr>
            <w:tcW w:w="1263" w:type="dxa"/>
          </w:tcPr>
          <w:p>
            <w:pPr>
              <w:pStyle w:val="Compact"/>
            </w:pPr>
            <w:r>
              <w:t xml:space="preserve">TZ-03</w:t>
            </w:r>
          </w:p>
        </w:tc>
        <w:tc>
          <w:tcPr>
            <w:tcW w:w="7073" w:type="dxa"/>
          </w:tcPr>
          <w:tcPr/>
          <w:tcPr>
            <w:tcW w:w="7073" w:type="dxa"/>
          </w:tcPr>
          <w:p>
            <w:pPr>
              <w:pStyle w:val="Compact"/>
            </w:pPr>
            <w:r>
              <w:t xml:space="preserve">Алерты и отчёты САМО</w:t>
            </w:r>
          </w:p>
        </w:tc>
        <w:tc>
          <w:tcPr>
            <w:tcW w:w="1263" w:type="dxa"/>
          </w:tcPr>
          <w:tcPr/>
          <w:tcPr>
            <w:tcW w:w="1263" w:type="dxa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w="1263" w:type="dxa"/>
          </w:tcPr>
          <w:tcPr/>
          <w:tcPr>
            <w:tcW w:w="1263" w:type="dxa"/>
          </w:tcPr>
          <w:p>
            <w:pPr>
              <w:pStyle w:val="Compact"/>
            </w:pPr>
            <w:r>
              <w:t xml:space="preserve">TZ-11</w:t>
            </w:r>
          </w:p>
        </w:tc>
        <w:tc>
          <w:tcPr>
            <w:tcW w:w="7073" w:type="dxa"/>
          </w:tcPr>
          <w:tcPr/>
          <w:tcPr>
            <w:tcW w:w="7073" w:type="dxa"/>
          </w:tcPr>
          <w:p>
            <w:pPr>
              <w:pStyle w:val="Compact"/>
            </w:pPr>
            <w:r>
              <w:t xml:space="preserve">Парсинг цен конкурентов</w:t>
            </w:r>
          </w:p>
        </w:tc>
        <w:tc>
          <w:tcPr>
            <w:tcW w:w="1263" w:type="dxa"/>
          </w:tcPr>
          <w:tcPr/>
          <w:tcPr>
            <w:tcW w:w="1263" w:type="dxa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w="1263" w:type="dxa"/>
          </w:tcPr>
          <w:tcPr/>
          <w:tcPr>
            <w:tcW w:w="1263" w:type="dxa"/>
          </w:tcPr>
          <w:p>
            <w:pPr>
              <w:pStyle w:val="Compact"/>
            </w:pPr>
            <w:r>
              <w:t xml:space="preserve">TZ-13</w:t>
            </w:r>
          </w:p>
        </w:tc>
        <w:tc>
          <w:tcPr>
            <w:tcW w:w="7073" w:type="dxa"/>
          </w:tcPr>
          <w:tcPr/>
          <w:tcPr>
            <w:tcW w:w="7073" w:type="dxa"/>
          </w:tcPr>
          <w:p>
            <w:pPr>
              <w:pStyle w:val="Compact"/>
            </w:pPr>
            <w:r>
              <w:t xml:space="preserve">Динамическое ценообразование</w:t>
            </w:r>
          </w:p>
        </w:tc>
        <w:tc>
          <w:tcPr>
            <w:tcW w:w="1263" w:type="dxa"/>
          </w:tcPr>
          <w:tcPr/>
          <w:tcPr>
            <w:tcW w:w="1263" w:type="dxa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w="1263" w:type="dxa"/>
          </w:tcPr>
          <w:tcPr/>
          <w:tcPr>
            <w:tcW w:w="1263" w:type="dxa"/>
          </w:tcPr>
          <w:p>
            <w:pPr>
              <w:pStyle w:val="Compact"/>
            </w:pPr>
            <w:r>
              <w:t xml:space="preserve">TZ-17</w:t>
            </w:r>
          </w:p>
        </w:tc>
        <w:tc>
          <w:tcPr>
            <w:tcW w:w="7073" w:type="dxa"/>
          </w:tcPr>
          <w:tcPr/>
          <w:tcPr>
            <w:tcW w:w="7073" w:type="dxa"/>
          </w:tcPr>
          <w:p>
            <w:pPr>
              <w:pStyle w:val="Compact"/>
            </w:pPr>
            <w:r>
              <w:t xml:space="preserve">Матчинг гостиниц</w:t>
            </w:r>
          </w:p>
        </w:tc>
        <w:tc>
          <w:tcPr>
            <w:tcW w:w="1263" w:type="dxa"/>
          </w:tcPr>
          <w:tcPr/>
          <w:tcPr>
            <w:tcW w:w="1263" w:type="dxa"/>
          </w:tcPr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4. Связь целей и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877"/>
        <w:gridCol w:w="1763"/>
        <w:gridCol w:w="1959"/>
      </w:tblGrid>
      <w:tr>
        <w:trPr>
          <w:tblHeader w:val="on"/>
        </w:trPr>
        <w:tc>
          <w:tcPr>
            <w:tcW w:w="5877" w:type="dxa"/>
            <w:shd w:val="clear" w:color="auto" w:fill="D9E2F3"/>
          </w:tcPr>
          <w:tcPr/>
          <w:tcPr>
            <w:tcW w:w="5877" w:type="dxa"/>
            <w:shd w:val="clear" w:color="auto" w:fill="D9E2F3"/>
          </w:tcPr>
          <w:p>
            <w:pPr>
              <w:pStyle w:val="Compact"/>
            </w:pPr>
            <w:r>
              <w:t xml:space="preserve">Цель</w:t>
            </w:r>
          </w:p>
        </w:tc>
        <w:tc>
          <w:tcPr>
            <w:tcW w:w="1763" w:type="dxa"/>
            <w:shd w:val="clear" w:color="auto" w:fill="D9E2F3"/>
          </w:tcPr>
          <w:tcPr/>
          <w:tcPr>
            <w:tcW w:w="1763" w:type="dxa"/>
            <w:shd w:val="clear" w:color="auto" w:fill="D9E2F3"/>
          </w:tcPr>
          <w:p>
            <w:pPr>
              <w:pStyle w:val="Compact"/>
            </w:pPr>
            <w:r>
              <w:t xml:space="preserve">Экономия</w:t>
            </w:r>
          </w:p>
        </w:tc>
        <w:tc>
          <w:tcPr>
            <w:tcW w:w="1959" w:type="dxa"/>
            <w:shd w:val="clear" w:color="auto" w:fill="D9E2F3"/>
          </w:tcPr>
          <w:tcPr/>
          <w:tcPr>
            <w:tcW w:w="1959" w:type="dxa"/>
            <w:shd w:val="clear" w:color="auto" w:fill="D9E2F3"/>
          </w:tcPr>
          <w:p>
            <w:pPr>
              <w:pStyle w:val="Compact"/>
            </w:pPr>
            <w:r>
              <w:t xml:space="preserve">% от общей</w:t>
            </w:r>
          </w:p>
        </w:tc>
      </w:tr>
      <w:tr>
        <w:tc>
          <w:tcPr>
            <w:tcW w:w="5877" w:type="dxa"/>
          </w:tcPr>
          <w:tcPr/>
          <w:tcPr>
            <w:tcW w:w="5877" w:type="dxa"/>
          </w:tcPr>
          <w:p>
            <w:pPr>
              <w:pStyle w:val="Compact"/>
            </w:pPr>
            <w:r>
              <w:t xml:space="preserve">Цель 1: Маржинальность +2 п.п.</w:t>
            </w:r>
          </w:p>
        </w:tc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t xml:space="preserve">150 ч/мес</w:t>
            </w:r>
          </w:p>
        </w:tc>
        <w:tc>
          <w:tcPr>
            <w:tcW w:w="1959" w:type="dxa"/>
          </w:tcPr>
          <w:tcPr/>
          <w:tcPr>
            <w:tcW w:w="1959" w:type="dxa"/>
          </w:tcPr>
          <w:p>
            <w:pPr>
              <w:pStyle w:val="Compact"/>
            </w:pPr>
            <w:r>
              <w:t xml:space="preserve">82%</w:t>
            </w:r>
          </w:p>
        </w:tc>
      </w:tr>
      <w:tr>
        <w:tc>
          <w:tcPr>
            <w:tcW w:w="5877" w:type="dxa"/>
          </w:tcPr>
          <w:tcPr/>
          <w:tcPr>
            <w:tcW w:w="5877" w:type="dxa"/>
          </w:tcPr>
          <w:p>
            <w:pPr>
              <w:pStyle w:val="Compact"/>
            </w:pPr>
            <w:r>
              <w:t xml:space="preserve">Цель 2: Доступность 95%</w:t>
            </w:r>
          </w:p>
        </w:tc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t xml:space="preserve">33 ч/мес</w:t>
            </w:r>
          </w:p>
        </w:tc>
        <w:tc>
          <w:tcPr>
            <w:tcW w:w="1959" w:type="dxa"/>
          </w:tcPr>
          <w:tcPr/>
          <w:tcPr>
            <w:tcW w:w="1959" w:type="dxa"/>
          </w:tcPr>
          <w:p>
            <w:pPr>
              <w:pStyle w:val="Compact"/>
            </w:pPr>
            <w:r>
              <w:t xml:space="preserve">18%</w:t>
            </w:r>
          </w:p>
        </w:tc>
      </w:tr>
      <w:tr>
        <w:tc>
          <w:tcPr>
            <w:tcW w:w="5877" w:type="dxa"/>
          </w:tcPr>
          <w:tcPr/>
          <w:tcPr>
            <w:tcW w:w="5877" w:type="dxa"/>
          </w:tcPr>
          <w:p>
            <w:pPr>
              <w:pStyle w:val="Compact"/>
            </w:pPr>
            <w:r>
              <w:t xml:space="preserve">Цель 3: Диверсификация</w:t>
            </w:r>
          </w:p>
        </w:tc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t xml:space="preserve">0 ч/мес</w:t>
            </w:r>
          </w:p>
        </w:tc>
        <w:tc>
          <w:tcPr>
            <w:tcW w:w="1959" w:type="dxa"/>
          </w:tcPr>
          <w:tcPr/>
          <w:tcPr>
            <w:tcW w:w="1959" w:type="dxa"/>
          </w:tcPr>
          <w:p>
            <w:pPr>
              <w:pStyle w:val="Compact"/>
            </w:pPr>
            <w:r>
              <w:t xml:space="preserve">0%</w:t>
            </w:r>
          </w:p>
        </w:tc>
      </w:tr>
      <w:tr>
        <w:tc>
          <w:tcPr>
            <w:tcW w:w="5877" w:type="dxa"/>
          </w:tcPr>
          <w:tcPr/>
          <w:tcPr>
            <w:tcW w:w="5877" w:type="dxa"/>
          </w:tcPr>
          <w:p>
            <w:pPr>
              <w:pStyle w:val="Compact"/>
            </w:pPr>
            <w:r>
              <w:t xml:space="preserve">Цель 4: Time-to-Market 30 дней</w:t>
            </w:r>
          </w:p>
        </w:tc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t xml:space="preserve">0 ч/мес</w:t>
            </w:r>
          </w:p>
        </w:tc>
        <w:tc>
          <w:tcPr>
            <w:tcW w:w="1959" w:type="dxa"/>
          </w:tcPr>
          <w:tcPr/>
          <w:tcPr>
            <w:tcW w:w="1959" w:type="dxa"/>
          </w:tcPr>
          <w:p>
            <w:pPr>
              <w:pStyle w:val="Compact"/>
            </w:pPr>
            <w:r>
              <w:t xml:space="preserve">0%</w:t>
            </w:r>
          </w:p>
        </w:tc>
      </w:tr>
      <w:tr>
        <w:tc>
          <w:tcPr>
            <w:tcW w:w="5877" w:type="dxa"/>
          </w:tcPr>
          <w:tcPr/>
          <w:tcPr>
            <w:tcW w:w="587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183 ч/мес</w:t>
            </w:r>
          </w:p>
        </w:tc>
        <w:tc>
          <w:tcPr>
            <w:tcW w:w="1959" w:type="dxa"/>
          </w:tcPr>
          <w:tcPr/>
          <w:tcPr>
            <w:tcW w:w="195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AUTO-точки по целям:</w:t>
      </w:r>
    </w:p>
    <w:p>
      <w:pPr>
        <w:pStyle w:val="Compact"/>
        <w:numPr>
          <w:ilvl w:val="0"/>
          <w:numId w:val="1032"/>
        </w:numPr>
      </w:pPr>
      <w:r>
        <w:t xml:space="preserve">Цель 1:</w:t>
      </w:r>
    </w:p>
    <w:p>
      <w:pPr>
        <w:pStyle w:val="Compact"/>
        <w:numPr>
          <w:ilvl w:val="1"/>
          <w:numId w:val="1033"/>
        </w:numPr>
      </w:pPr>
      <w:r>
        <w:t xml:space="preserve">AUTO-003</w:t>
      </w:r>
    </w:p>
    <w:p>
      <w:pPr>
        <w:pStyle w:val="Compact"/>
        <w:numPr>
          <w:ilvl w:val="1"/>
          <w:numId w:val="1033"/>
        </w:numPr>
      </w:pPr>
      <w:r>
        <w:t xml:space="preserve">AUTO-015</w:t>
      </w:r>
    </w:p>
    <w:p>
      <w:pPr>
        <w:pStyle w:val="Compact"/>
        <w:numPr>
          <w:ilvl w:val="1"/>
          <w:numId w:val="1033"/>
        </w:numPr>
      </w:pPr>
      <w:r>
        <w:t xml:space="preserve">AUTO-018</w:t>
      </w:r>
    </w:p>
    <w:p>
      <w:pPr>
        <w:pStyle w:val="Compact"/>
        <w:numPr>
          <w:ilvl w:val="1"/>
          <w:numId w:val="1033"/>
        </w:numPr>
      </w:pPr>
      <w:r>
        <w:t xml:space="preserve">AUTO-034</w:t>
      </w:r>
    </w:p>
    <w:p>
      <w:pPr>
        <w:pStyle w:val="Compact"/>
        <w:numPr>
          <w:ilvl w:val="0"/>
          <w:numId w:val="1032"/>
        </w:numPr>
      </w:pPr>
      <w:r>
        <w:t xml:space="preserve">Цель 2:</w:t>
      </w:r>
    </w:p>
    <w:p>
      <w:pPr>
        <w:pStyle w:val="Compact"/>
        <w:numPr>
          <w:ilvl w:val="1"/>
          <w:numId w:val="1034"/>
        </w:numPr>
      </w:pPr>
      <w:r>
        <w:t xml:space="preserve">AUTO-016</w:t>
      </w:r>
    </w:p>
    <w:p>
      <w:pPr>
        <w:pStyle w:val="Compact"/>
        <w:numPr>
          <w:ilvl w:val="1"/>
          <w:numId w:val="1034"/>
        </w:numPr>
      </w:pPr>
      <w:r>
        <w:t xml:space="preserve">AUTO-017</w:t>
      </w:r>
    </w:p>
    <w:p>
      <w:pPr>
        <w:pStyle w:val="Compact"/>
        <w:numPr>
          <w:ilvl w:val="0"/>
          <w:numId w:val="1032"/>
        </w:numPr>
      </w:pPr>
      <w:r>
        <w:t xml:space="preserve">Цель 3:</w:t>
      </w:r>
    </w:p>
    <w:p>
      <w:pPr>
        <w:pStyle w:val="Compact"/>
        <w:numPr>
          <w:ilvl w:val="1"/>
          <w:numId w:val="1035"/>
        </w:numPr>
      </w:pPr>
      <w:r>
        <w:t xml:space="preserve">используются из Цели 1</w:t>
      </w:r>
    </w:p>
    <w:p>
      <w:pPr>
        <w:pStyle w:val="Compact"/>
        <w:numPr>
          <w:ilvl w:val="0"/>
          <w:numId w:val="1032"/>
        </w:numPr>
      </w:pPr>
      <w:r>
        <w:t xml:space="preserve">Цель 4:</w:t>
      </w:r>
    </w:p>
    <w:p>
      <w:pPr>
        <w:pStyle w:val="Compact"/>
        <w:numPr>
          <w:ilvl w:val="1"/>
          <w:numId w:val="1036"/>
        </w:numPr>
      </w:pPr>
      <w:r>
        <w:t xml:space="preserve">используются из Цели 2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2026-02-28T21:08:39Z</dcterms:created>
  <dcterms:modified xsi:type="dcterms:W3CDTF">2026-02-28T21:08:39Z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