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операционный-департамент"/>
    <w:p>
      <w:pPr>
        <w:pStyle w:val="Heading1"/>
      </w:pPr>
      <w:r>
        <w:t xml:space="preserve">ОПЕРАЦИОННЫЙ ДЕПАРТАМЕНТ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Преображенская Татьяна Владимировна</w:t>
      </w:r>
    </w:p>
    <w:p>
      <w:pPr>
        <w:pStyle w:val="BodyText"/>
      </w:pPr>
      <w:r>
        <w:rPr>
          <w:b/>
          <w:bCs/>
        </w:rPr>
        <w:t xml:space="preserve">Штат:</w:t>
      </w:r>
      <w:r>
        <w:t xml:space="preserve"> </w:t>
      </w:r>
      <w:r>
        <w:t xml:space="preserve">72 сотрудника (крупнейший департамент)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Увеличить конверсию обращений в продажи на 5 п.п. (с 25% до 30%) к 31.12.2026 через оптимизацию процесса обработки заявок и сокращение времени ответа до 2 часов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Обслуживание входящих обращений</w:t>
      </w:r>
    </w:p>
    <w:p>
      <w:pPr>
        <w:pStyle w:val="Compact"/>
        <w:numPr>
          <w:ilvl w:val="1"/>
          <w:numId w:val="1002"/>
        </w:numPr>
      </w:pPr>
      <w:r>
        <w:t xml:space="preserve">→ Отдел бронирования (рук. Загородняя): быстрая и качественная обработка бронирований</w:t>
      </w:r>
    </w:p>
    <w:p>
      <w:pPr>
        <w:pStyle w:val="Compact"/>
        <w:numPr>
          <w:ilvl w:val="1"/>
          <w:numId w:val="1002"/>
        </w:numPr>
      </w:pPr>
      <w:r>
        <w:t xml:space="preserve">→ Отдел бронирования (рук. Загородняя): обработка заявок на регулярных рейсах</w:t>
      </w:r>
    </w:p>
    <w:p>
      <w:pPr>
        <w:pStyle w:val="Compact"/>
        <w:numPr>
          <w:ilvl w:val="1"/>
          <w:numId w:val="1002"/>
        </w:numPr>
      </w:pPr>
      <w:r>
        <w:t xml:space="preserve">→ Отдел бронирования (рук. Загородняя): обработка заявок на блоках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Контроль исполнения заявки</w:t>
      </w:r>
    </w:p>
    <w:p>
      <w:pPr>
        <w:pStyle w:val="Compact"/>
        <w:numPr>
          <w:ilvl w:val="1"/>
          <w:numId w:val="1004"/>
        </w:numPr>
      </w:pPr>
      <w:r>
        <w:t xml:space="preserve">→ Отдел продаж (рук. Преображенская): оперативная обработка входящих клиентских запросов</w:t>
      </w:r>
    </w:p>
    <w:p>
      <w:pPr>
        <w:pStyle w:val="Compact"/>
        <w:numPr>
          <w:ilvl w:val="1"/>
          <w:numId w:val="1004"/>
        </w:numPr>
      </w:pPr>
      <w:r>
        <w:t xml:space="preserve">→ Отдел продаж (рук. Преображенская): консультация клиентов и выявление потребностей</w:t>
      </w:r>
    </w:p>
    <w:p>
      <w:pPr>
        <w:pStyle w:val="Compact"/>
        <w:numPr>
          <w:ilvl w:val="1"/>
          <w:numId w:val="1004"/>
        </w:numPr>
      </w:pPr>
      <w:r>
        <w:t xml:space="preserve">→ Отдел продаж (рук. Преображенская): формирование коммерческих предложений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Автоматизация цикла обработки заявки</w:t>
      </w:r>
    </w:p>
    <w:p>
      <w:pPr>
        <w:pStyle w:val="Compact"/>
        <w:numPr>
          <w:ilvl w:val="1"/>
          <w:numId w:val="1006"/>
        </w:numPr>
      </w:pPr>
      <w:r>
        <w:t xml:space="preserve">→ Отдел группового бронирования (рук. Коломина): расширение клиентской базы в корпоративном сегменте</w:t>
      </w:r>
    </w:p>
    <w:p>
      <w:pPr>
        <w:pStyle w:val="Compact"/>
        <w:numPr>
          <w:ilvl w:val="1"/>
          <w:numId w:val="1006"/>
        </w:numPr>
      </w:pPr>
      <w:r>
        <w:t xml:space="preserve">→ Отдел группового бронирования (рук. Коломина): оперативная обработка запросов от новых клиентов</w:t>
      </w:r>
    </w:p>
    <w:p>
      <w:pPr>
        <w:pStyle w:val="Compact"/>
        <w:numPr>
          <w:ilvl w:val="1"/>
          <w:numId w:val="1006"/>
        </w:numPr>
      </w:pPr>
      <w:r>
        <w:t xml:space="preserve">→ Отдел группового бронирования (рук. Коломина): расширение клиентской базы в корпоративном сегменте</w:t>
      </w:r>
    </w:p>
    <w:p>
      <w:pPr>
        <w:pStyle w:val="Compact"/>
        <w:numPr>
          <w:ilvl w:val="1"/>
          <w:numId w:val="1006"/>
        </w:numPr>
      </w:pPr>
      <w:r>
        <w:t xml:space="preserve">→ Отдел группового бронирования (рук. Коломина): оперативная обработка запросов от новых клиентов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07"/>
        </w:numPr>
      </w:pPr>
      <w:r>
        <w:t xml:space="preserve">AUTO-009: Маршрутизация заявок по 28 направлениям — 73 ч/мес</w:t>
      </w:r>
    </w:p>
    <w:p>
      <w:pPr>
        <w:pStyle w:val="Compact"/>
        <w:numPr>
          <w:ilvl w:val="0"/>
          <w:numId w:val="1007"/>
        </w:numPr>
      </w:pPr>
      <w:r>
        <w:t xml:space="preserve">AUTO-025: Шаблоны КП из САМО — 33 ч/мес</w:t>
      </w:r>
    </w:p>
    <w:p>
      <w:pPr>
        <w:pStyle w:val="Compact"/>
        <w:numPr>
          <w:ilvl w:val="0"/>
          <w:numId w:val="1007"/>
        </w:numPr>
      </w:pPr>
      <w:r>
        <w:t xml:space="preserve">AUTO-033: Авто-создание задач из входящих писем — 13 ч/мес</w:t>
      </w:r>
    </w:p>
    <w:p>
      <w:pPr>
        <w:pStyle w:val="Compact"/>
        <w:numPr>
          <w:ilvl w:val="0"/>
          <w:numId w:val="1007"/>
        </w:numPr>
      </w:pPr>
      <w:r>
        <w:t xml:space="preserve">AUTO-045: Автодиспетчер направлений — 25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08"/>
        </w:numPr>
      </w:pPr>
      <w:r>
        <w:t xml:space="preserve">TZ-02: Шаблоны документов — 144 ч/ч, 432 000 руб.</w:t>
      </w:r>
    </w:p>
    <w:p>
      <w:pPr>
        <w:pStyle w:val="Compact"/>
        <w:numPr>
          <w:ilvl w:val="0"/>
          <w:numId w:val="1008"/>
        </w:numPr>
      </w:pPr>
      <w:r>
        <w:t xml:space="preserve">TZ-04: Маршрутизация и согласования — 224 ч/ч, 672 000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"/>
    <w:p>
      <w:pPr>
        <w:pStyle w:val="Heading2"/>
      </w:pPr>
      <w:r>
        <w:t xml:space="preserve">ЦЕЛЬ 2</w:t>
      </w:r>
    </w:p>
    <w:p>
      <w:pPr>
        <w:pStyle w:val="FirstParagraph"/>
      </w:pPr>
      <w:r>
        <w:t xml:space="preserve">Достичь соблюдения SLA на уровне 90% по всем этапам обработки заявки к 30.06.2026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Контроль исполнения заявки</w:t>
      </w:r>
    </w:p>
    <w:p>
      <w:pPr>
        <w:pStyle w:val="Compact"/>
        <w:numPr>
          <w:ilvl w:val="1"/>
          <w:numId w:val="1010"/>
        </w:numPr>
      </w:pPr>
      <w:r>
        <w:t xml:space="preserve">→ Группа визового сопровождения: приём и обработка документов для оформления виз</w:t>
      </w:r>
    </w:p>
    <w:p>
      <w:pPr>
        <w:pStyle w:val="Compact"/>
        <w:numPr>
          <w:ilvl w:val="1"/>
          <w:numId w:val="1010"/>
        </w:numPr>
      </w:pPr>
      <w:r>
        <w:t xml:space="preserve">→ Группа визового сопровождения: контроль сроков и статусов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Мониторинг сроков на каждом этапе</w:t>
      </w:r>
    </w:p>
    <w:p>
      <w:pPr>
        <w:pStyle w:val="Compact"/>
        <w:numPr>
          <w:ilvl w:val="1"/>
          <w:numId w:val="1012"/>
        </w:numPr>
      </w:pPr>
      <w:r>
        <w:t xml:space="preserve">→ Транспортный отдел (рук. Боканова): поиск и подбор поставщиков авиаперевозки</w:t>
      </w:r>
    </w:p>
    <w:p>
      <w:pPr>
        <w:pStyle w:val="Compact"/>
        <w:numPr>
          <w:ilvl w:val="1"/>
          <w:numId w:val="1012"/>
        </w:numPr>
      </w:pPr>
      <w:r>
        <w:t xml:space="preserve">→ Транспортный отдел (рук. Боканова): контроль тайм-лимитов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Эскалация при нарушении сроков</w:t>
      </w:r>
    </w:p>
    <w:p>
      <w:pPr>
        <w:pStyle w:val="Compact"/>
        <w:numPr>
          <w:ilvl w:val="1"/>
          <w:numId w:val="1014"/>
        </w:numPr>
      </w:pPr>
      <w:r>
        <w:t xml:space="preserve">→ Транспортный отдел (рук. Боканова): поиск и подбор поставщиков авиаперевозки</w:t>
      </w:r>
    </w:p>
    <w:p>
      <w:pPr>
        <w:pStyle w:val="Compact"/>
        <w:numPr>
          <w:ilvl w:val="1"/>
          <w:numId w:val="1014"/>
        </w:numPr>
      </w:pPr>
      <w:r>
        <w:t xml:space="preserve">→ Транспортный отдел (рук. Боканова): контроль тайм-лимитов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15"/>
        </w:numPr>
      </w:pPr>
      <w:r>
        <w:t xml:space="preserve">AUTO-001: Контроль тайм-лимитов авиабилетов — 40 ч/мес</w:t>
      </w:r>
    </w:p>
    <w:p>
      <w:pPr>
        <w:pStyle w:val="Compact"/>
        <w:numPr>
          <w:ilvl w:val="0"/>
          <w:numId w:val="1015"/>
        </w:numPr>
      </w:pPr>
      <w:r>
        <w:t xml:space="preserve">AUTO-002: Чек-лист документов по заявке — 28 ч/мес</w:t>
      </w:r>
    </w:p>
    <w:p>
      <w:pPr>
        <w:pStyle w:val="Compact"/>
        <w:numPr>
          <w:ilvl w:val="0"/>
          <w:numId w:val="1015"/>
        </w:numPr>
      </w:pPr>
      <w:r>
        <w:t xml:space="preserve">AUTO-010: Сверка данных САМО и GDS — 18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16"/>
        </w:numPr>
      </w:pPr>
      <w:r>
        <w:t xml:space="preserve">TZ-09: Контроль тайм-лимитов — 167 ч/ч, 501 000 руб.</w:t>
      </w:r>
    </w:p>
    <w:p>
      <w:pPr>
        <w:pStyle w:val="Compact"/>
        <w:numPr>
          <w:ilvl w:val="0"/>
          <w:numId w:val="1016"/>
        </w:numPr>
      </w:pPr>
      <w:r>
        <w:t xml:space="preserve">TZ-10: Контроль документов — 133 ч/ч, 399 000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-критическая"/>
    <w:p>
      <w:pPr>
        <w:pStyle w:val="Heading2"/>
      </w:pPr>
      <w:r>
        <w:t xml:space="preserve">ЦЕЛЬ 3 (КРИТИЧЕСКАЯ)</w:t>
      </w:r>
    </w:p>
    <w:p>
      <w:pPr>
        <w:pStyle w:val="FirstParagraph"/>
      </w:pPr>
      <w:r>
        <w:t xml:space="preserve">Увеличить долю выручки от допродаж до 12% к 31.12.2026 (с текущих 7%)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Развитие дополнительных услуг</w:t>
      </w:r>
    </w:p>
    <w:p>
      <w:pPr>
        <w:pStyle w:val="Compact"/>
        <w:numPr>
          <w:ilvl w:val="1"/>
          <w:numId w:val="1018"/>
        </w:numPr>
      </w:pPr>
      <w:r>
        <w:t xml:space="preserve">→ ВИП-отдел (рук. Нурумова): индивидуальное обслуживание VIP-клиентов</w:t>
      </w:r>
    </w:p>
    <w:p>
      <w:pPr>
        <w:pStyle w:val="Compact"/>
        <w:numPr>
          <w:ilvl w:val="1"/>
          <w:numId w:val="1018"/>
        </w:numPr>
      </w:pPr>
      <w:r>
        <w:t xml:space="preserve">→ ВИП-отдел (рук. Нурумова): разработка шаблонов ответов</w:t>
      </w:r>
    </w:p>
    <w:p>
      <w:pPr>
        <w:pStyle w:val="Compact"/>
        <w:numPr>
          <w:ilvl w:val="1"/>
          <w:numId w:val="1018"/>
        </w:numPr>
      </w:pPr>
      <w:r>
        <w:t xml:space="preserve">→ Отдел продаж (рук. Преображенская): допродажи:</w:t>
      </w:r>
    </w:p>
    <w:p>
      <w:pPr>
        <w:pStyle w:val="Compact"/>
        <w:numPr>
          <w:ilvl w:val="1"/>
          <w:numId w:val="1018"/>
        </w:numPr>
      </w:pPr>
      <w:r>
        <w:t xml:space="preserve">→ Отдел продаж (рук. Преображенская): страховки</w:t>
      </w:r>
    </w:p>
    <w:p>
      <w:pPr>
        <w:pStyle w:val="Compact"/>
        <w:numPr>
          <w:ilvl w:val="1"/>
          <w:numId w:val="1018"/>
        </w:numPr>
      </w:pPr>
      <w:r>
        <w:t xml:space="preserve">→ Отдел продаж (рук. Преображенская): трансферы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Обучение менеджеров техникам допродаж</w:t>
      </w:r>
    </w:p>
    <w:p>
      <w:pPr>
        <w:pStyle w:val="Compact"/>
        <w:numPr>
          <w:ilvl w:val="1"/>
          <w:numId w:val="1020"/>
        </w:numPr>
      </w:pPr>
      <w:r>
        <w:t xml:space="preserve">→ Отдел продаж (рук. Преображенская): экскурсии</w:t>
      </w:r>
    </w:p>
    <w:p>
      <w:pPr>
        <w:pStyle w:val="Compact"/>
        <w:numPr>
          <w:ilvl w:val="1"/>
          <w:numId w:val="1020"/>
        </w:numPr>
      </w:pPr>
      <w:r>
        <w:t xml:space="preserve">→ Отдел продаж (рук. Преображенская): допродажи:</w:t>
      </w:r>
    </w:p>
    <w:p>
      <w:pPr>
        <w:pStyle w:val="Compact"/>
        <w:numPr>
          <w:ilvl w:val="1"/>
          <w:numId w:val="1020"/>
        </w:numPr>
      </w:pPr>
      <w:r>
        <w:t xml:space="preserve">→ Отдел продаж (рук. Преображенская): страховки</w:t>
      </w:r>
    </w:p>
    <w:p>
      <w:pPr>
        <w:pStyle w:val="Compact"/>
        <w:numPr>
          <w:ilvl w:val="1"/>
          <w:numId w:val="1020"/>
        </w:numPr>
      </w:pPr>
      <w:r>
        <w:t xml:space="preserve">→ Отдел продаж (рук. Преображенская): трансферы</w:t>
      </w:r>
    </w:p>
    <w:p>
      <w:pPr>
        <w:pStyle w:val="Compact"/>
        <w:numPr>
          <w:ilvl w:val="1"/>
          <w:numId w:val="1020"/>
        </w:numPr>
      </w:pPr>
      <w:r>
        <w:t xml:space="preserve">→ Отдел продаж (рук. Преображенская): экскурсии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1"/>
        </w:numPr>
      </w:pPr>
      <w:r>
        <w:t xml:space="preserve">Используются AUTO-009 и AUTO-025 из Цели 1 (не дублируются в расчёте)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4-критическая"/>
    <w:p>
      <w:pPr>
        <w:pStyle w:val="Heading2"/>
      </w:pPr>
      <w:r>
        <w:t xml:space="preserve">ЦЕЛЬ 4 (КРИТИЧЕСКАЯ)</w:t>
      </w:r>
    </w:p>
    <w:p>
      <w:pPr>
        <w:pStyle w:val="FirstParagraph"/>
      </w:pPr>
      <w:r>
        <w:t xml:space="preserve">Сократить время до подтверждённой брони до 24 часов к 31.12.2026 (с текущих 48-72 часов)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Автоматизация рутинных операций</w:t>
      </w:r>
    </w:p>
    <w:p>
      <w:pPr>
        <w:pStyle w:val="Compact"/>
        <w:numPr>
          <w:ilvl w:val="1"/>
          <w:numId w:val="1023"/>
        </w:numPr>
      </w:pPr>
      <w:r>
        <w:t xml:space="preserve">→ Отдел бронирования (рук. Загородняя): ускорение обработки бронирований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Упрощение процесса для клиента</w:t>
      </w:r>
    </w:p>
    <w:p>
      <w:pPr>
        <w:pStyle w:val="Compact"/>
        <w:numPr>
          <w:ilvl w:val="1"/>
          <w:numId w:val="1025"/>
        </w:numPr>
      </w:pPr>
      <w:r>
        <w:t xml:space="preserve">→ Отдел продаж (рук. Преображенская): оперативная обратная связь клиенту</w:t>
      </w:r>
    </w:p>
    <w:p>
      <w:pPr>
        <w:pStyle w:val="Compact"/>
        <w:numPr>
          <w:ilvl w:val="1"/>
          <w:numId w:val="1025"/>
        </w:numPr>
      </w:pPr>
      <w:r>
        <w:t xml:space="preserve">→ Отдел продаж (рук. Преображенская): оперативная обратная связь клиенту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</w:p>
    <w:p>
      <w:pPr>
        <w:pStyle w:val="Compact"/>
        <w:numPr>
          <w:ilvl w:val="0"/>
          <w:numId w:val="1026"/>
        </w:numPr>
      </w:pPr>
      <w:r>
        <w:t xml:space="preserve">AUTO-005: Интеграция GDS в 1С — 81 ч/мес</w:t>
      </w:r>
    </w:p>
    <w:p>
      <w:pPr>
        <w:pStyle w:val="Compact"/>
        <w:numPr>
          <w:ilvl w:val="0"/>
          <w:numId w:val="1026"/>
        </w:numPr>
      </w:pPr>
      <w:r>
        <w:t xml:space="preserve">AUTO-019: Прямое подключение FlyDubai — 18 ч/мес</w:t>
      </w:r>
    </w:p>
    <w:p>
      <w:pPr>
        <w:pStyle w:val="Compact"/>
        <w:numPr>
          <w:ilvl w:val="0"/>
          <w:numId w:val="1026"/>
        </w:numPr>
      </w:pPr>
      <w:r>
        <w:t xml:space="preserve">AUTO-020: Интеграция Уральских авиалиний — 13 ч/мес</w:t>
      </w:r>
    </w:p>
    <w:p>
      <w:pPr>
        <w:pStyle w:val="FirstParagraph"/>
      </w:pPr>
      <w:r>
        <w:rPr>
          <w:b/>
          <w:bCs/>
        </w:rPr>
        <w:t xml:space="preserve">Технические задания:</w:t>
      </w:r>
    </w:p>
    <w:p>
      <w:pPr>
        <w:pStyle w:val="Compact"/>
        <w:numPr>
          <w:ilvl w:val="0"/>
          <w:numId w:val="1027"/>
        </w:numPr>
      </w:pPr>
      <w:r>
        <w:t xml:space="preserve">TZ-12: Интеграция GDS в 1С — 1 667 ч/ч, 5 001 000 руб.</w:t>
      </w:r>
    </w:p>
    <w:p>
      <w:pPr>
        <w:pStyle w:val="Compact"/>
        <w:numPr>
          <w:ilvl w:val="0"/>
          <w:numId w:val="1027"/>
        </w:numPr>
      </w:pPr>
      <w:r>
        <w:t xml:space="preserve">TZ-14: Интеграции с авиакомпаниями — 340 ч/ч, 1 020 000 руб.</w:t>
      </w:r>
    </w:p>
    <w:p>
      <w:r>
        <w:pict>
          <v:rect style="width:0;height:1.5pt" o:hralign="center" o:hrstd="t" o:hr="t"/>
        </w:pict>
      </w:r>
    </w:p>
    <w:bookmarkEnd w:id="12"/>
    <w:bookmarkStart w:id="13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71"/>
        <w:gridCol w:w="2286"/>
        <w:gridCol w:w="1742"/>
        <w:gridCol w:w="780"/>
        <w:gridCol w:w="3919"/>
      </w:tblGrid>
      <w:tr>
        <w:trPr>
          <w:tblHeader w:val="on"/>
        </w:trPr>
        <w:tc>
          <w:tcPr>
            <w:tcW w:w="871" w:type="dxa"/>
            <w:shd w:val="clear" w:color="auto" w:fill="D9E2F3"/>
          </w:tcPr>
          <w:tcPr/>
          <w:tcPr>
            <w:tcW w:w="871" w:type="dxa"/>
            <w:shd w:val="clear" w:color="auto" w:fill="D9E2F3"/>
          </w:tcPr>
          <w:p>
            <w:pPr>
              <w:pStyle w:val="Compact"/>
            </w:pPr>
            <w:r>
              <w:t xml:space="preserve">AUTO</w:t>
            </w:r>
          </w:p>
        </w:tc>
        <w:tc>
          <w:tcPr>
            <w:tcW w:w="2286" w:type="dxa"/>
            <w:shd w:val="clear" w:color="auto" w:fill="D9E2F3"/>
          </w:tcPr>
          <w:tcPr/>
          <w:tcPr>
            <w:tcW w:w="2286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742" w:type="dxa"/>
            <w:shd w:val="clear" w:color="auto" w:fill="D9E2F3"/>
          </w:tcPr>
          <w:tcPr/>
          <w:tcPr>
            <w:tcW w:w="1742" w:type="dxa"/>
            <w:shd w:val="clear" w:color="auto" w:fill="D9E2F3"/>
          </w:tcPr>
          <w:p>
            <w:pPr>
              <w:pStyle w:val="Compact"/>
            </w:pPr>
            <w:r>
              <w:t xml:space="preserve">Экономия (ч/мес)</w:t>
            </w:r>
          </w:p>
        </w:tc>
        <w:tc>
          <w:tcPr>
            <w:tcW w:w="780" w:type="dxa"/>
            <w:shd w:val="clear" w:color="auto" w:fill="D9E2F3"/>
          </w:tcPr>
          <w:tcPr/>
          <w:tcPr>
            <w:tcW w:w="780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3919" w:type="dxa"/>
            <w:shd w:val="clear" w:color="auto" w:fill="D9E2F3"/>
          </w:tcPr>
          <w:tcPr/>
          <w:tcPr>
            <w:tcW w:w="3919" w:type="dxa"/>
            <w:shd w:val="clear" w:color="auto" w:fill="D9E2F3"/>
          </w:tcPr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AUTO-001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Контроль тайм-лимитов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TZ-09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AUTO-002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Чек-лист документов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28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TZ-10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Группа виз. сопровождения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AUTO-005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GDS в 1С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81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TZ-12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AUTO-009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Маршрутизация заявок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73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TZ-04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Отдел продаж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AUTO-010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Сверка САМО и GDS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TZ-14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AUTO-019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FlyDubai API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TZ-14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AUTO-020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Уральские авиалинии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TZ-14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Транспортный отдел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AUTO-025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Шаблоны КП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33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TZ-02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Отдел продаж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AUTO-033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Задачи из писем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TZ-04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Отдел продаж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t xml:space="preserve">AUTO-045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  <w:r>
              <w:t xml:space="preserve">Автодиспетчер</w:t>
            </w: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  <w:r>
              <w:t xml:space="preserve">TZ-04</w:t>
            </w: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  <w:r>
              <w:t xml:space="preserve">Анкета L2: Отдел продаж</w:t>
            </w:r>
          </w:p>
        </w:tc>
      </w:tr>
      <w:tr>
        <w:tc>
          <w:tcPr>
            <w:tcW w:w="871" w:type="dxa"/>
          </w:tcPr>
          <w:tcPr/>
          <w:tcPr>
            <w:tcW w:w="87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286" w:type="dxa"/>
          </w:tcPr>
          <w:tcPr/>
          <w:tcPr>
            <w:tcW w:w="2286" w:type="dxa"/>
          </w:tcPr>
          <w:p>
            <w:pPr>
              <w:pStyle w:val="Compact"/>
            </w:pPr>
          </w:p>
        </w:tc>
        <w:tc>
          <w:tcPr>
            <w:tcW w:w="1742" w:type="dxa"/>
          </w:tcPr>
          <w:tcPr/>
          <w:tcPr>
            <w:tcW w:w="17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342 ч/мес</w:t>
            </w:r>
          </w:p>
        </w:tc>
        <w:tc>
          <w:tcPr>
            <w:tcW w:w="780" w:type="dxa"/>
          </w:tcPr>
          <w:tcPr/>
          <w:tcPr>
            <w:tcW w:w="780" w:type="dxa"/>
          </w:tcPr>
          <w:p>
            <w:pPr>
              <w:pStyle w:val="Compact"/>
            </w:pPr>
          </w:p>
        </w:tc>
        <w:tc>
          <w:tcPr>
            <w:tcW w:w="3919" w:type="dxa"/>
          </w:tcPr>
          <w:tcPr/>
          <w:tcPr>
            <w:tcW w:w="3919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Compact"/>
        <w:numPr>
          <w:ilvl w:val="0"/>
          <w:numId w:val="1028"/>
        </w:numPr>
      </w:pPr>
      <w:r>
        <w:t xml:space="preserve">40+28+81+73+18+18+13+33+13+25 = 342 ч/мес</w:t>
      </w:r>
    </w:p>
    <w:p>
      <w:pPr>
        <w:pStyle w:val="FirstParagraph"/>
      </w:pPr>
      <w:r>
        <w:rPr>
          <w:b/>
          <w:bCs/>
        </w:rPr>
        <w:t xml:space="preserve">Таблица 2. Расчёт стоимости экономии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66"/>
        <w:gridCol w:w="2266"/>
        <w:gridCol w:w="2533"/>
        <w:gridCol w:w="1733"/>
      </w:tblGrid>
      <w:tr>
        <w:trPr>
          <w:tblHeader w:val="on"/>
        </w:trPr>
        <w:tc>
          <w:tcPr>
            <w:tcW w:w="3066" w:type="dxa"/>
            <w:shd w:val="clear" w:color="auto" w:fill="D9E2F3"/>
          </w:tcPr>
          <w:tcPr/>
          <w:tcPr>
            <w:tcW w:w="3066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2266" w:type="dxa"/>
            <w:shd w:val="clear" w:color="auto" w:fill="D9E2F3"/>
          </w:tcPr>
          <w:tcPr/>
          <w:tcPr>
            <w:tcW w:w="226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2533" w:type="dxa"/>
            <w:shd w:val="clear" w:color="auto" w:fill="D9E2F3"/>
          </w:tcPr>
          <w:tcPr/>
          <w:tcPr>
            <w:tcW w:w="2533" w:type="dxa"/>
            <w:shd w:val="clear" w:color="auto" w:fill="D9E2F3"/>
          </w:tcPr>
          <w:p>
            <w:pPr>
              <w:pStyle w:val="Compact"/>
            </w:pPr>
            <w:r>
              <w:t xml:space="preserve">Формула</w:t>
            </w:r>
          </w:p>
        </w:tc>
        <w:tc>
          <w:tcPr>
            <w:tcW w:w="1733" w:type="dxa"/>
            <w:shd w:val="clear" w:color="auto" w:fill="D9E2F3"/>
          </w:tcPr>
          <w:tcPr/>
          <w:tcPr>
            <w:tcW w:w="1733" w:type="dxa"/>
            <w:shd w:val="clear" w:color="auto" w:fill="D9E2F3"/>
          </w:tcPr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342 ч/мес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Таблица 1, итого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595 руб/час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104 000 руб / 176 ч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203 490 руб/мес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342 ч × 595 руб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>
            <w:tcW w:w="3066" w:type="dxa"/>
          </w:tcPr>
          <w:tcPr/>
          <w:tcPr>
            <w:tcW w:w="3066" w:type="dxa"/>
          </w:tcPr>
          <w:p>
            <w:pPr>
              <w:pStyle w:val="Compact"/>
            </w:pPr>
            <w:r>
              <w:t xml:space="preserve">Экономия в год</w:t>
            </w:r>
          </w:p>
        </w:tc>
        <w:tc>
          <w:tcPr>
            <w:tcW w:w="2266" w:type="dxa"/>
          </w:tcPr>
          <w:tcPr/>
          <w:tcPr>
            <w:tcW w:w="2266" w:type="dxa"/>
          </w:tcPr>
          <w:p>
            <w:pPr>
              <w:pStyle w:val="Compact"/>
            </w:pPr>
            <w:r>
              <w:t xml:space="preserve">2 441 880 руб/год</w:t>
            </w:r>
          </w:p>
        </w:tc>
        <w:tc>
          <w:tcPr>
            <w:tcW w:w="2533" w:type="dxa"/>
          </w:tcPr>
          <w:tcPr/>
          <w:tcPr>
            <w:tcW w:w="2533" w:type="dxa"/>
          </w:tcPr>
          <w:p>
            <w:pPr>
              <w:pStyle w:val="Compact"/>
            </w:pPr>
            <w:r>
              <w:t xml:space="preserve">203 490 × 12 мес</w:t>
            </w:r>
          </w:p>
        </w:tc>
        <w:tc>
          <w:tcPr>
            <w:tcW w:w="1733" w:type="dxa"/>
          </w:tcPr>
          <w:tcPr/>
          <w:tcPr>
            <w:tcW w:w="1733" w:type="dxa"/>
          </w:tcPr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263"/>
        <w:gridCol w:w="7073"/>
        <w:gridCol w:w="1263"/>
      </w:tblGrid>
      <w:tr>
        <w:trPr>
          <w:tblHeader w:val="on"/>
        </w:trPr>
        <w:tc>
          <w:tcPr>
            <w:tcW w:w="1263" w:type="dxa"/>
            <w:shd w:val="clear" w:color="auto" w:fill="D9E2F3"/>
          </w:tcPr>
          <w:tcPr/>
          <w:tcPr>
            <w:tcW w:w="1263" w:type="dxa"/>
            <w:shd w:val="clear" w:color="auto" w:fill="D9E2F3"/>
          </w:tcPr>
          <w:p>
            <w:pPr>
              <w:pStyle w:val="Compact"/>
            </w:pPr>
            <w:r>
              <w:t xml:space="preserve">ТЗ</w:t>
            </w:r>
          </w:p>
        </w:tc>
        <w:tc>
          <w:tcPr>
            <w:tcW w:w="7073" w:type="dxa"/>
            <w:shd w:val="clear" w:color="auto" w:fill="D9E2F3"/>
          </w:tcPr>
          <w:tcPr/>
          <w:tcPr>
            <w:tcW w:w="7073" w:type="dxa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1263" w:type="dxa"/>
            <w:shd w:val="clear" w:color="auto" w:fill="D9E2F3"/>
          </w:tcPr>
          <w:tcPr/>
          <w:tcPr>
            <w:tcW w:w="1263" w:type="dxa"/>
            <w:shd w:val="clear" w:color="auto" w:fill="D9E2F3"/>
          </w:tcPr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TZ-02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Шаблоны документов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TZ-04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Маршрутизация и согласования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TZ-09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Контроль тайм-лимитов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TZ-10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Контроль документов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TZ-12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Интеграция GDS в 1С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3</w:t>
            </w:r>
          </w:p>
        </w:tc>
      </w:tr>
      <w:tr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TZ-14</w:t>
            </w:r>
          </w:p>
        </w:tc>
        <w:tc>
          <w:tcPr>
            <w:tcW w:w="7073" w:type="dxa"/>
          </w:tcPr>
          <w:tcPr/>
          <w:tcPr>
            <w:tcW w:w="7073" w:type="dxa"/>
          </w:tcPr>
          <w:p>
            <w:pPr>
              <w:pStyle w:val="Compact"/>
            </w:pPr>
            <w:r>
              <w:t xml:space="preserve">Интеграции с авиакомпаниями</w:t>
            </w:r>
          </w:p>
        </w:tc>
        <w:tc>
          <w:tcPr>
            <w:tcW w:w="1263" w:type="dxa"/>
          </w:tcPr>
          <w:tcPr/>
          <w:tcPr>
            <w:tcW w:w="1263" w:type="dxa"/>
          </w:tcPr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455"/>
        <w:gridCol w:w="1963"/>
        <w:gridCol w:w="2181"/>
      </w:tblGrid>
      <w:tr>
        <w:trPr>
          <w:tblHeader w:val="on"/>
        </w:trPr>
        <w:tc>
          <w:tcPr>
            <w:tcW w:w="5455" w:type="dxa"/>
            <w:shd w:val="clear" w:color="auto" w:fill="D9E2F3"/>
          </w:tcPr>
          <w:tcPr/>
          <w:tcPr>
            <w:tcW w:w="5455" w:type="dxa"/>
            <w:shd w:val="clear" w:color="auto" w:fill="D9E2F3"/>
          </w:tcPr>
          <w:p>
            <w:pPr>
              <w:pStyle w:val="Compact"/>
            </w:pPr>
            <w:r>
              <w:t xml:space="preserve">Цель</w:t>
            </w:r>
          </w:p>
        </w:tc>
        <w:tc>
          <w:tcPr>
            <w:tcW w:w="1963" w:type="dxa"/>
            <w:shd w:val="clear" w:color="auto" w:fill="D9E2F3"/>
          </w:tcPr>
          <w:tcPr/>
          <w:tcPr>
            <w:tcW w:w="1963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2181" w:type="dxa"/>
            <w:shd w:val="clear" w:color="auto" w:fill="D9E2F3"/>
          </w:tcPr>
          <w:tcPr/>
          <w:tcPr>
            <w:tcW w:w="2181" w:type="dxa"/>
            <w:shd w:val="clear" w:color="auto" w:fill="D9E2F3"/>
          </w:tcPr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>
            <w:tcW w:w="5455" w:type="dxa"/>
          </w:tcPr>
          <w:tcPr/>
          <w:tcPr>
            <w:tcW w:w="5455" w:type="dxa"/>
          </w:tcPr>
          <w:p>
            <w:pPr>
              <w:pStyle w:val="Compact"/>
            </w:pPr>
            <w:r>
              <w:t xml:space="preserve">Цель 1: Конверсия +5 п.п.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144 ч/мес</w:t>
            </w:r>
          </w:p>
        </w:tc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>
            <w:tcW w:w="5455" w:type="dxa"/>
          </w:tcPr>
          <w:tcPr/>
          <w:tcPr>
            <w:tcW w:w="5455" w:type="dxa"/>
          </w:tcPr>
          <w:p>
            <w:pPr>
              <w:pStyle w:val="Compact"/>
            </w:pPr>
            <w:r>
              <w:t xml:space="preserve">Цель 2: SLA 90%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86 ч/мес</w:t>
            </w:r>
          </w:p>
        </w:tc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>
            <w:tcW w:w="5455" w:type="dxa"/>
          </w:tcPr>
          <w:tcPr/>
          <w:tcPr>
            <w:tcW w:w="5455" w:type="dxa"/>
          </w:tcPr>
          <w:p>
            <w:pPr>
              <w:pStyle w:val="Compact"/>
            </w:pPr>
            <w:r>
              <w:t xml:space="preserve">Цель 3: Допродажи 12%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0 ч/мес</w:t>
            </w:r>
          </w:p>
        </w:tc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t xml:space="preserve">0%</w:t>
            </w:r>
          </w:p>
        </w:tc>
      </w:tr>
      <w:tr>
        <w:tc>
          <w:tcPr>
            <w:tcW w:w="5455" w:type="dxa"/>
          </w:tcPr>
          <w:tcPr/>
          <w:tcPr>
            <w:tcW w:w="5455" w:type="dxa"/>
          </w:tcPr>
          <w:p>
            <w:pPr>
              <w:pStyle w:val="Compact"/>
            </w:pPr>
            <w:r>
              <w:t xml:space="preserve">Цель 4: Бронь за 24ч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t xml:space="preserve">112 ч/мес</w:t>
            </w:r>
          </w:p>
        </w:tc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>
            <w:tcW w:w="5455" w:type="dxa"/>
          </w:tcPr>
          <w:tcPr/>
          <w:tcPr>
            <w:tcW w:w="545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1963" w:type="dxa"/>
          </w:tcPr>
          <w:tcPr/>
          <w:tcPr>
            <w:tcW w:w="196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342 ч/мес</w:t>
            </w:r>
          </w:p>
        </w:tc>
        <w:tc>
          <w:tcPr>
            <w:tcW w:w="2181" w:type="dxa"/>
          </w:tcPr>
          <w:tcPr/>
          <w:tcPr>
            <w:tcW w:w="218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</w:p>
    <w:p>
      <w:pPr>
        <w:pStyle w:val="Compact"/>
        <w:numPr>
          <w:ilvl w:val="0"/>
          <w:numId w:val="1029"/>
        </w:numPr>
      </w:pPr>
      <w:r>
        <w:t xml:space="preserve">Цель 1:</w:t>
      </w:r>
    </w:p>
    <w:p>
      <w:pPr>
        <w:pStyle w:val="Compact"/>
        <w:numPr>
          <w:ilvl w:val="1"/>
          <w:numId w:val="1030"/>
        </w:numPr>
      </w:pPr>
      <w:r>
        <w:t xml:space="preserve">AUTO-009</w:t>
      </w:r>
    </w:p>
    <w:p>
      <w:pPr>
        <w:pStyle w:val="Compact"/>
        <w:numPr>
          <w:ilvl w:val="1"/>
          <w:numId w:val="1030"/>
        </w:numPr>
      </w:pPr>
      <w:r>
        <w:t xml:space="preserve">AUTO-025</w:t>
      </w:r>
    </w:p>
    <w:p>
      <w:pPr>
        <w:pStyle w:val="Compact"/>
        <w:numPr>
          <w:ilvl w:val="1"/>
          <w:numId w:val="1030"/>
        </w:numPr>
      </w:pPr>
      <w:r>
        <w:t xml:space="preserve">AUTO-033</w:t>
      </w:r>
    </w:p>
    <w:p>
      <w:pPr>
        <w:pStyle w:val="Compact"/>
        <w:numPr>
          <w:ilvl w:val="1"/>
          <w:numId w:val="1030"/>
        </w:numPr>
      </w:pPr>
      <w:r>
        <w:t xml:space="preserve">AUTO-045</w:t>
      </w:r>
    </w:p>
    <w:p>
      <w:pPr>
        <w:pStyle w:val="Compact"/>
        <w:numPr>
          <w:ilvl w:val="0"/>
          <w:numId w:val="1029"/>
        </w:numPr>
      </w:pPr>
      <w:r>
        <w:t xml:space="preserve">Цель 2:</w:t>
      </w:r>
    </w:p>
    <w:p>
      <w:pPr>
        <w:pStyle w:val="Compact"/>
        <w:numPr>
          <w:ilvl w:val="1"/>
          <w:numId w:val="1031"/>
        </w:numPr>
      </w:pPr>
      <w:r>
        <w:t xml:space="preserve">AUTO-001</w:t>
      </w:r>
    </w:p>
    <w:p>
      <w:pPr>
        <w:pStyle w:val="Compact"/>
        <w:numPr>
          <w:ilvl w:val="1"/>
          <w:numId w:val="1031"/>
        </w:numPr>
      </w:pPr>
      <w:r>
        <w:t xml:space="preserve">AUTO-002</w:t>
      </w:r>
    </w:p>
    <w:p>
      <w:pPr>
        <w:pStyle w:val="Compact"/>
        <w:numPr>
          <w:ilvl w:val="1"/>
          <w:numId w:val="1031"/>
        </w:numPr>
      </w:pPr>
      <w:r>
        <w:t xml:space="preserve">AUTO-010</w:t>
      </w:r>
    </w:p>
    <w:p>
      <w:pPr>
        <w:pStyle w:val="Compact"/>
        <w:numPr>
          <w:ilvl w:val="0"/>
          <w:numId w:val="1029"/>
        </w:numPr>
      </w:pPr>
      <w:r>
        <w:t xml:space="preserve">Цель 3:</w:t>
      </w:r>
    </w:p>
    <w:p>
      <w:pPr>
        <w:pStyle w:val="Compact"/>
        <w:numPr>
          <w:ilvl w:val="1"/>
          <w:numId w:val="1032"/>
        </w:numPr>
      </w:pPr>
      <w:r>
        <w:t xml:space="preserve">используются из Цели 1</w:t>
      </w:r>
    </w:p>
    <w:p>
      <w:pPr>
        <w:pStyle w:val="Compact"/>
        <w:numPr>
          <w:ilvl w:val="0"/>
          <w:numId w:val="1029"/>
        </w:numPr>
      </w:pPr>
      <w:r>
        <w:t xml:space="preserve">Цель 4:</w:t>
      </w:r>
    </w:p>
    <w:p>
      <w:pPr>
        <w:pStyle w:val="Compact"/>
        <w:numPr>
          <w:ilvl w:val="1"/>
          <w:numId w:val="1033"/>
        </w:numPr>
      </w:pPr>
      <w:r>
        <w:t xml:space="preserve">AUTO-005</w:t>
      </w:r>
    </w:p>
    <w:p>
      <w:pPr>
        <w:pStyle w:val="Compact"/>
        <w:numPr>
          <w:ilvl w:val="1"/>
          <w:numId w:val="1033"/>
        </w:numPr>
      </w:pPr>
      <w:r>
        <w:t xml:space="preserve">AUTO-019</w:t>
      </w:r>
    </w:p>
    <w:p>
      <w:pPr>
        <w:pStyle w:val="Compact"/>
        <w:numPr>
          <w:ilvl w:val="1"/>
          <w:numId w:val="1033"/>
        </w:numPr>
      </w:pPr>
      <w:r>
        <w:t xml:space="preserve">AUTO-020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2026-02-28T21:08:40Z</dcterms:created>
  <dcterms:modified xsi:type="dcterms:W3CDTF">2026-02-28T21:08:40Z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