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управление-клиентского-сервиса"/>
    <w:p>
      <w:pPr>
        <w:pStyle w:val="Heading1"/>
      </w:pPr>
      <w:r>
        <w:t xml:space="preserve">УПРАВЛЕНИЕ КЛИЕНТСКОГО СЕРВИСА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Акопова Александра Владимировна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16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Достичь показателя First Contact Resolution на уровне 75% и среднего времени обработки обращения до 4 часов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Повышение качества коммуникаций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обеспечение оперативного ответа на обращение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обработка входящих звонков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координация работы с другими подразделениями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регистрация и маршрутизация обращений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работа с жалобами и претензиями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Стандартизация процессов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круглосуточная доступность для клиентов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оперативное решение вопросов клиента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взаимодействие с партнёрами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поддержка туристов в поездке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экстренная помощь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Сокращение времени реакции на обращение</w:t>
      </w:r>
    </w:p>
    <w:p>
      <w:pPr>
        <w:pStyle w:val="Compact"/>
        <w:numPr>
          <w:ilvl w:val="1"/>
          <w:numId w:val="1006"/>
        </w:numPr>
      </w:pPr>
      <w:r>
        <w:t xml:space="preserve">→ Отдел 24/7 (рук. Акопова): круглосуточная доступность для клиентов</w:t>
      </w:r>
    </w:p>
    <w:p>
      <w:pPr>
        <w:pStyle w:val="Compact"/>
        <w:numPr>
          <w:ilvl w:val="1"/>
          <w:numId w:val="1006"/>
        </w:numPr>
      </w:pPr>
      <w:r>
        <w:t xml:space="preserve">→ Отдел 24/7 (рук. Акопова): оперативное решение вопросов клиента</w:t>
      </w:r>
    </w:p>
    <w:p>
      <w:pPr>
        <w:pStyle w:val="Compact"/>
        <w:numPr>
          <w:ilvl w:val="1"/>
          <w:numId w:val="1006"/>
        </w:numPr>
      </w:pPr>
      <w:r>
        <w:t xml:space="preserve">→ Отдел 24/7 (рук. Акопова): взаимодействие с партнёрами</w:t>
      </w:r>
    </w:p>
    <w:p>
      <w:pPr>
        <w:pStyle w:val="Compact"/>
        <w:numPr>
          <w:ilvl w:val="1"/>
          <w:numId w:val="1006"/>
        </w:numPr>
      </w:pPr>
      <w:r>
        <w:t xml:space="preserve">→ Отдел 24/7 (рук. Акопова): поддержка туристов в поездке</w:t>
      </w:r>
    </w:p>
    <w:p>
      <w:pPr>
        <w:pStyle w:val="Compact"/>
        <w:numPr>
          <w:ilvl w:val="1"/>
          <w:numId w:val="1006"/>
        </w:numPr>
      </w:pPr>
      <w:r>
        <w:t xml:space="preserve">→ Отдел 24/7 (рук. Акопова): экстренная помощь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7"/>
        </w:numPr>
      </w:pPr>
      <w:r>
        <w:t xml:space="preserve">AUTO-007: Чат-бот IT-поддержки — 44 ч/мес</w:t>
      </w:r>
    </w:p>
    <w:p>
      <w:pPr>
        <w:pStyle w:val="Compact"/>
        <w:numPr>
          <w:ilvl w:val="0"/>
          <w:numId w:val="1007"/>
        </w:numPr>
      </w:pPr>
      <w:r>
        <w:t xml:space="preserve">AUTO-008: Портал базы знаний — 17 ч/мес</w:t>
      </w:r>
    </w:p>
    <w:p>
      <w:pPr>
        <w:pStyle w:val="Compact"/>
        <w:numPr>
          <w:ilvl w:val="0"/>
          <w:numId w:val="1007"/>
        </w:numPr>
      </w:pPr>
      <w:r>
        <w:t xml:space="preserve">AUTO-036: Библиотека готовых ответов — 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08"/>
        </w:numPr>
      </w:pPr>
      <w:r>
        <w:t xml:space="preserve">TZ-02: Шаблоны документов — 144 ч/ч, 432 000 руб.</w:t>
      </w:r>
    </w:p>
    <w:p>
      <w:pPr>
        <w:pStyle w:val="Compact"/>
        <w:numPr>
          <w:ilvl w:val="0"/>
          <w:numId w:val="1008"/>
        </w:numPr>
      </w:pPr>
      <w:r>
        <w:t xml:space="preserve">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Достичь показателя NPS клиентов на уровне +50 к 31.12.2026 и снизить долю повторных обращений по одной проблеме до 5%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Оптимизация процессов</w:t>
      </w:r>
    </w:p>
    <w:p>
      <w:pPr>
        <w:pStyle w:val="Compact"/>
        <w:numPr>
          <w:ilvl w:val="1"/>
          <w:numId w:val="1010"/>
        </w:numPr>
      </w:pPr>
      <w:r>
        <w:t xml:space="preserve">→ Отдел клиентской поддержки (рук. Фролова): качественное решение вопросов клиентов</w:t>
      </w:r>
    </w:p>
    <w:p>
      <w:pPr>
        <w:pStyle w:val="Compact"/>
        <w:numPr>
          <w:ilvl w:val="1"/>
          <w:numId w:val="1010"/>
        </w:numPr>
      </w:pPr>
      <w:r>
        <w:t xml:space="preserve">→ Отдел клиентской поддержки (рук. Фролова): сбор обратной связи</w:t>
      </w:r>
    </w:p>
    <w:p>
      <w:pPr>
        <w:pStyle w:val="Compact"/>
        <w:numPr>
          <w:ilvl w:val="1"/>
          <w:numId w:val="1010"/>
        </w:numPr>
      </w:pPr>
      <w:r>
        <w:t xml:space="preserve">→ Отдел клиентской поддержки (рук. Фролова): анализ типовых проблем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Полное разрешение обращений с первого раза</w:t>
      </w:r>
    </w:p>
    <w:p>
      <w:pPr>
        <w:pStyle w:val="Compact"/>
        <w:numPr>
          <w:ilvl w:val="1"/>
          <w:numId w:val="1012"/>
        </w:numPr>
      </w:pPr>
      <w:r>
        <w:t xml:space="preserve">→ Отдел 24/7 (рук. Акопова): решение вопросов в пользу клиента</w:t>
      </w:r>
    </w:p>
    <w:p>
      <w:pPr>
        <w:pStyle w:val="Compact"/>
        <w:numPr>
          <w:ilvl w:val="1"/>
          <w:numId w:val="1012"/>
        </w:numPr>
      </w:pPr>
      <w:r>
        <w:t xml:space="preserve">→ Отдел 24/7 (рук. Акопова): сохранение лояльности</w:t>
      </w:r>
    </w:p>
    <w:p>
      <w:pPr>
        <w:pStyle w:val="Compact"/>
        <w:numPr>
          <w:ilvl w:val="1"/>
          <w:numId w:val="1012"/>
        </w:numPr>
      </w:pPr>
      <w:r>
        <w:t xml:space="preserve">→ Отдел 24/7 (рук. Акопова): переговоры с партнёрами по спорным ситуациям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Анализ причин повторных обращений</w:t>
      </w:r>
    </w:p>
    <w:p>
      <w:pPr>
        <w:pStyle w:val="Compact"/>
        <w:numPr>
          <w:ilvl w:val="1"/>
          <w:numId w:val="1014"/>
        </w:numPr>
      </w:pPr>
      <w:r>
        <w:t xml:space="preserve">→ Отдел 24/7 (рук. Акопова): решение вопросов в пользу клиента</w:t>
      </w:r>
    </w:p>
    <w:p>
      <w:pPr>
        <w:pStyle w:val="Compact"/>
        <w:numPr>
          <w:ilvl w:val="1"/>
          <w:numId w:val="1014"/>
        </w:numPr>
      </w:pPr>
      <w:r>
        <w:t xml:space="preserve">→ Отдел 24/7 (рук. Акопова): сохранение лояльности</w:t>
      </w:r>
    </w:p>
    <w:p>
      <w:pPr>
        <w:pStyle w:val="Compact"/>
        <w:numPr>
          <w:ilvl w:val="1"/>
          <w:numId w:val="1014"/>
        </w:numPr>
      </w:pPr>
      <w:r>
        <w:t xml:space="preserve">→ Отдел 24/7 (рук. Акопова): переговоры с партнёрами по спорным ситуациям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5"/>
        </w:numPr>
      </w:pPr>
      <w:r>
        <w:t xml:space="preserve">AUTO-024: Интеграция мессенджеров в CRM — 28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6"/>
        </w:numPr>
      </w:pPr>
      <w:r>
        <w:t xml:space="preserve">TZ-19: Мессенджеры → CRM — 240 ч/ч, 720 000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Увеличить долю повторных покупок до 35% к 31.12.2026 (с текущих 20%) через программу лояльности, персонализированные предложения и post-trip коммуникации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Максимально быстрое и полное разрешение обращений</w:t>
      </w:r>
    </w:p>
    <w:p>
      <w:pPr>
        <w:pStyle w:val="Compact"/>
        <w:numPr>
          <w:ilvl w:val="1"/>
          <w:numId w:val="1018"/>
        </w:numPr>
      </w:pPr>
      <w:r>
        <w:t xml:space="preserve">→ ВИП-отдел (рук. Нурумова): анализ входящих запросов и обратной связи</w:t>
      </w:r>
    </w:p>
    <w:p>
      <w:pPr>
        <w:pStyle w:val="Compact"/>
        <w:numPr>
          <w:ilvl w:val="1"/>
          <w:numId w:val="1018"/>
        </w:numPr>
      </w:pPr>
      <w:r>
        <w:t xml:space="preserve">→ ВИП-отдел (рук. Нурумова): обучение персонала деловому общению</w:t>
      </w:r>
    </w:p>
    <w:p>
      <w:pPr>
        <w:pStyle w:val="Compact"/>
        <w:numPr>
          <w:ilvl w:val="1"/>
          <w:numId w:val="1018"/>
        </w:numPr>
      </w:pPr>
      <w:r>
        <w:t xml:space="preserve">→ ВИП-отдел (рук. Нурумова): разработка стандартов обслуживания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Создание позитивного опыта взаимодействия</w:t>
      </w:r>
    </w:p>
    <w:p>
      <w:pPr>
        <w:pStyle w:val="Compact"/>
        <w:numPr>
          <w:ilvl w:val="1"/>
          <w:numId w:val="1020"/>
        </w:numPr>
      </w:pPr>
      <w:r>
        <w:t xml:space="preserve">→ Отдел клиентской поддержки (рук. Фролова): post-trip коммуникации</w:t>
      </w:r>
    </w:p>
    <w:p>
      <w:pPr>
        <w:pStyle w:val="Compact"/>
        <w:numPr>
          <w:ilvl w:val="1"/>
          <w:numId w:val="1020"/>
        </w:numPr>
      </w:pPr>
      <w:r>
        <w:t xml:space="preserve">→ Отдел клиентской поддержки (рук. Фролова): персонализированные предложения</w:t>
      </w:r>
    </w:p>
    <w:p>
      <w:pPr>
        <w:pStyle w:val="Compact"/>
        <w:numPr>
          <w:ilvl w:val="1"/>
          <w:numId w:val="1020"/>
        </w:numPr>
      </w:pPr>
      <w:r>
        <w:t xml:space="preserve">→ Отдел клиентской поддержки (рук. Фролова): работа с программой лояльности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Поддержание связи с клиентами после поездки</w:t>
      </w:r>
    </w:p>
    <w:p>
      <w:pPr>
        <w:pStyle w:val="Compact"/>
        <w:numPr>
          <w:ilvl w:val="1"/>
          <w:numId w:val="1022"/>
        </w:numPr>
      </w:pPr>
      <w:r>
        <w:t xml:space="preserve">→ Отдел клиентской поддержки (рук. Фролова): post-trip коммуникации</w:t>
      </w:r>
    </w:p>
    <w:p>
      <w:pPr>
        <w:pStyle w:val="Compact"/>
        <w:numPr>
          <w:ilvl w:val="1"/>
          <w:numId w:val="1022"/>
        </w:numPr>
      </w:pPr>
      <w:r>
        <w:t xml:space="preserve">→ Отдел клиентской поддержки (рук. Фролова): персонализированные предложения</w:t>
      </w:r>
    </w:p>
    <w:p>
      <w:pPr>
        <w:pStyle w:val="Compact"/>
        <w:numPr>
          <w:ilvl w:val="1"/>
          <w:numId w:val="1022"/>
        </w:numPr>
      </w:pPr>
      <w:r>
        <w:t xml:space="preserve">→ Отдел клиентской поддержки (рук. Фролова): работа с программой лояльности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3"/>
        </w:numPr>
      </w:pPr>
      <w:r>
        <w:t xml:space="preserve">AUTO-039: Авто-отправка документов после оплаты — 18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4"/>
        </w:numPr>
      </w:pPr>
      <w:r>
        <w:t xml:space="preserve">TZ-01: Интеграция САМО ↔ Битрикс24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953"/>
        <w:gridCol w:w="2859"/>
        <w:gridCol w:w="1906"/>
        <w:gridCol w:w="784"/>
        <w:gridCol w:w="3097"/>
      </w:tblGrid>
      <w:tr>
        <w:trPr>
          <w:tblHeader w:val="on"/>
        </w:trPr>
        <w:tc>
          <w:tcPr>
            <w:tcW w:w="953" w:type="dxa"/>
            <w:shd w:val="clear" w:color="auto" w:fill="D9E2F3"/>
          </w:tcPr>
          <w:tcPr/>
          <w:tcPr>
            <w:tcW w:w="953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859" w:type="dxa"/>
            <w:shd w:val="clear" w:color="auto" w:fill="D9E2F3"/>
          </w:tcPr>
          <w:tcPr/>
          <w:tcPr>
            <w:tcW w:w="2859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906" w:type="dxa"/>
            <w:shd w:val="clear" w:color="auto" w:fill="D9E2F3"/>
          </w:tcPr>
          <w:tcPr/>
          <w:tcPr>
            <w:tcW w:w="1906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4" w:type="dxa"/>
            <w:shd w:val="clear" w:color="auto" w:fill="D9E2F3"/>
          </w:tcPr>
          <w:tcPr/>
          <w:tcPr>
            <w:tcW w:w="784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3097" w:type="dxa"/>
            <w:shd w:val="clear" w:color="auto" w:fill="D9E2F3"/>
          </w:tcPr>
          <w:tcPr/>
          <w:tcPr>
            <w:tcW w:w="3097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953" w:type="dxa"/>
          </w:tcPr>
          <w:tcPr/>
          <w:tcPr>
            <w:tcW w:w="953" w:type="dxa"/>
          </w:tcPr>
          <w:p>
            <w:pPr>
              <w:pStyle w:val="Compact"/>
            </w:pPr>
            <w:r>
              <w:t xml:space="preserve">AUTO-007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Чат-бот IT-поддержки</w:t>
            </w:r>
          </w:p>
        </w:tc>
        <w:tc>
          <w:tcPr>
            <w:tcW w:w="1906" w:type="dxa"/>
          </w:tcPr>
          <w:tcPr/>
          <w:tcPr>
            <w:tcW w:w="1906" w:type="dxa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3097" w:type="dxa"/>
          </w:tcPr>
          <w:tcPr/>
          <w:tcPr>
            <w:tcW w:w="3097" w:type="dxa"/>
          </w:tcPr>
          <w:p>
            <w:pPr>
              <w:pStyle w:val="Compact"/>
            </w:pPr>
            <w:r>
              <w:t xml:space="preserve">Анкета L2: Отдел поддержки</w:t>
            </w:r>
          </w:p>
        </w:tc>
      </w:tr>
      <w:tr>
        <w:tc>
          <w:tcPr>
            <w:tcW w:w="953" w:type="dxa"/>
          </w:tcPr>
          <w:tcPr/>
          <w:tcPr>
            <w:tcW w:w="953" w:type="dxa"/>
          </w:tcPr>
          <w:p>
            <w:pPr>
              <w:pStyle w:val="Compact"/>
            </w:pPr>
            <w:r>
              <w:t xml:space="preserve">AUTO-008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Портал базы знаний</w:t>
            </w:r>
          </w:p>
        </w:tc>
        <w:tc>
          <w:tcPr>
            <w:tcW w:w="1906" w:type="dxa"/>
          </w:tcPr>
          <w:tcPr/>
          <w:tcPr>
            <w:tcW w:w="1906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3097" w:type="dxa"/>
          </w:tcPr>
          <w:tcPr/>
          <w:tcPr>
            <w:tcW w:w="3097" w:type="dxa"/>
          </w:tcPr>
          <w:p>
            <w:pPr>
              <w:pStyle w:val="Compact"/>
            </w:pPr>
            <w:r>
              <w:t xml:space="preserve">Анкета L2: Отдел поддержки</w:t>
            </w:r>
          </w:p>
        </w:tc>
      </w:tr>
      <w:tr>
        <w:tc>
          <w:tcPr>
            <w:tcW w:w="953" w:type="dxa"/>
          </w:tcPr>
          <w:tcPr/>
          <w:tcPr>
            <w:tcW w:w="953" w:type="dxa"/>
          </w:tcPr>
          <w:p>
            <w:pPr>
              <w:pStyle w:val="Compact"/>
            </w:pPr>
            <w:r>
              <w:t xml:space="preserve">AUTO-024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Мессенджеры в CRM</w:t>
            </w:r>
          </w:p>
        </w:tc>
        <w:tc>
          <w:tcPr>
            <w:tcW w:w="1906" w:type="dxa"/>
          </w:tcPr>
          <w:tcPr/>
          <w:tcPr>
            <w:tcW w:w="1906" w:type="dxa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  <w:r>
              <w:t xml:space="preserve">TZ-19</w:t>
            </w:r>
          </w:p>
        </w:tc>
        <w:tc>
          <w:tcPr>
            <w:tcW w:w="3097" w:type="dxa"/>
          </w:tcPr>
          <w:tcPr/>
          <w:tcPr>
            <w:tcW w:w="3097" w:type="dxa"/>
          </w:tcPr>
          <w:p>
            <w:pPr>
              <w:pStyle w:val="Compact"/>
            </w:pPr>
            <w:r>
              <w:t xml:space="preserve">Анкета L2: Отдел 24/7</w:t>
            </w:r>
          </w:p>
        </w:tc>
      </w:tr>
      <w:tr>
        <w:tc>
          <w:tcPr>
            <w:tcW w:w="953" w:type="dxa"/>
          </w:tcPr>
          <w:tcPr/>
          <w:tcPr>
            <w:tcW w:w="953" w:type="dxa"/>
          </w:tcPr>
          <w:p>
            <w:pPr>
              <w:pStyle w:val="Compact"/>
            </w:pPr>
            <w:r>
              <w:t xml:space="preserve">AUTO-036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Библиотека ответов</w:t>
            </w:r>
          </w:p>
        </w:tc>
        <w:tc>
          <w:tcPr>
            <w:tcW w:w="1906" w:type="dxa"/>
          </w:tcPr>
          <w:tcPr/>
          <w:tcPr>
            <w:tcW w:w="1906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3097" w:type="dxa"/>
          </w:tcPr>
          <w:tcPr/>
          <w:tcPr>
            <w:tcW w:w="3097" w:type="dxa"/>
          </w:tcPr>
          <w:p>
            <w:pPr>
              <w:pStyle w:val="Compact"/>
            </w:pPr>
            <w:r>
              <w:t xml:space="preserve">Анкета L2: Отдел поддержки</w:t>
            </w:r>
          </w:p>
        </w:tc>
      </w:tr>
      <w:tr>
        <w:tc>
          <w:tcPr>
            <w:tcW w:w="953" w:type="dxa"/>
          </w:tcPr>
          <w:tcPr/>
          <w:tcPr>
            <w:tcW w:w="953" w:type="dxa"/>
          </w:tcPr>
          <w:p>
            <w:pPr>
              <w:pStyle w:val="Compact"/>
            </w:pPr>
            <w:r>
              <w:t xml:space="preserve">AUTO-039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Авто-отправка документов</w:t>
            </w:r>
          </w:p>
        </w:tc>
        <w:tc>
          <w:tcPr>
            <w:tcW w:w="1906" w:type="dxa"/>
          </w:tcPr>
          <w:tcPr/>
          <w:tcPr>
            <w:tcW w:w="1906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  <w:r>
              <w:t xml:space="preserve">TZ-01</w:t>
            </w:r>
          </w:p>
        </w:tc>
        <w:tc>
          <w:tcPr>
            <w:tcW w:w="3097" w:type="dxa"/>
          </w:tcPr>
          <w:tcPr/>
          <w:tcPr>
            <w:tcW w:w="3097" w:type="dxa"/>
          </w:tcPr>
          <w:p>
            <w:pPr>
              <w:pStyle w:val="Compact"/>
            </w:pPr>
            <w:r>
              <w:t xml:space="preserve">Анкета L2: Отдел 24/7</w:t>
            </w:r>
          </w:p>
        </w:tc>
      </w:tr>
      <w:tr>
        <w:tc>
          <w:tcPr>
            <w:tcW w:w="953" w:type="dxa"/>
          </w:tcPr>
          <w:tcPr/>
          <w:tcPr>
            <w:tcW w:w="95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</w:p>
        </w:tc>
        <w:tc>
          <w:tcPr>
            <w:tcW w:w="1906" w:type="dxa"/>
          </w:tcPr>
          <w:tcPr/>
          <w:tcPr>
            <w:tcW w:w="19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114 ч/мес</w:t>
            </w:r>
          </w:p>
        </w:tc>
        <w:tc>
          <w:tcPr>
            <w:tcW w:w="784" w:type="dxa"/>
          </w:tcPr>
          <w:tcPr/>
          <w:tcPr>
            <w:tcW w:w="784" w:type="dxa"/>
          </w:tcPr>
          <w:p>
            <w:pPr>
              <w:pStyle w:val="Compact"/>
            </w:pPr>
          </w:p>
        </w:tc>
        <w:tc>
          <w:tcPr>
            <w:tcW w:w="3097" w:type="dxa"/>
          </w:tcPr>
          <w:tcPr/>
          <w:tcPr>
            <w:tcW w:w="3097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25"/>
        </w:numPr>
      </w:pPr>
      <w:r>
        <w:t xml:space="preserve">44+17+28+7+18 = 114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057"/>
        <w:gridCol w:w="2605"/>
        <w:gridCol w:w="1782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114 ч/мес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67 830 руб/мес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114 ч × 595 руб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813 960 руб/год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67 830 × 12 мес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297"/>
        <w:gridCol w:w="7005"/>
        <w:gridCol w:w="1297"/>
      </w:tblGrid>
      <w:tr>
        <w:trPr>
          <w:tblHeader w:val="on"/>
        </w:trPr>
        <w:tc>
          <w:tcPr>
            <w:tcW w:w="1297" w:type="dxa"/>
            <w:shd w:val="clear" w:color="auto" w:fill="D9E2F3"/>
          </w:tcPr>
          <w:tcPr/>
          <w:tcPr>
            <w:tcW w:w="1297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7005" w:type="dxa"/>
            <w:shd w:val="clear" w:color="auto" w:fill="D9E2F3"/>
          </w:tcPr>
          <w:tcPr/>
          <w:tcPr>
            <w:tcW w:w="7005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297" w:type="dxa"/>
            <w:shd w:val="clear" w:color="auto" w:fill="D9E2F3"/>
          </w:tcPr>
          <w:tcPr/>
          <w:tcPr>
            <w:tcW w:w="1297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TZ-01</w:t>
            </w:r>
          </w:p>
        </w:tc>
        <w:tc>
          <w:tcPr>
            <w:tcW w:w="7005" w:type="dxa"/>
          </w:tcPr>
          <w:tcPr/>
          <w:tcPr>
            <w:tcW w:w="7005" w:type="dxa"/>
          </w:tcPr>
          <w:p>
            <w:pPr>
              <w:pStyle w:val="Compact"/>
            </w:pPr>
            <w:r>
              <w:t xml:space="preserve">Интеграция САМО ↔ Битрикс24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7005" w:type="dxa"/>
          </w:tcPr>
          <w:tcPr/>
          <w:tcPr>
            <w:tcW w:w="7005" w:type="dxa"/>
          </w:tcPr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7005" w:type="dxa"/>
          </w:tcPr>
          <w:tcPr/>
          <w:tcPr>
            <w:tcW w:w="7005" w:type="dxa"/>
          </w:tcPr>
          <w:p>
            <w:pPr>
              <w:pStyle w:val="Compact"/>
            </w:pPr>
            <w:r>
              <w:t xml:space="preserve">AI-помощники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TZ-19</w:t>
            </w:r>
          </w:p>
        </w:tc>
        <w:tc>
          <w:tcPr>
            <w:tcW w:w="7005" w:type="dxa"/>
          </w:tcPr>
          <w:tcPr/>
          <w:tcPr>
            <w:tcW w:w="7005" w:type="dxa"/>
          </w:tcPr>
          <w:p>
            <w:pPr>
              <w:pStyle w:val="Compact"/>
            </w:pPr>
            <w:r>
              <w:t xml:space="preserve">Мессенджеры → CRM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800"/>
        <w:gridCol w:w="1800"/>
        <w:gridCol w:w="2000"/>
      </w:tblGrid>
      <w:tr>
        <w:trPr>
          <w:tblHeader w:val="on"/>
        </w:trPr>
        <w:tc>
          <w:tcPr>
            <w:tcW w:w="5800" w:type="dxa"/>
            <w:shd w:val="clear" w:color="auto" w:fill="D9E2F3"/>
          </w:tcPr>
          <w:tcPr/>
          <w:tcPr>
            <w:tcW w:w="5800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800" w:type="dxa"/>
            <w:shd w:val="clear" w:color="auto" w:fill="D9E2F3"/>
          </w:tcPr>
          <w:tcPr/>
          <w:tcPr>
            <w:tcW w:w="1800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000" w:type="dxa"/>
            <w:shd w:val="clear" w:color="auto" w:fill="D9E2F3"/>
          </w:tcPr>
          <w:tcPr/>
          <w:tcPr>
            <w:tcW w:w="2000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800" w:type="dxa"/>
          </w:tcPr>
          <w:tcPr/>
          <w:tcPr>
            <w:tcW w:w="5800" w:type="dxa"/>
          </w:tcPr>
          <w:p>
            <w:pPr>
              <w:pStyle w:val="Compact"/>
            </w:pPr>
            <w:r>
              <w:t xml:space="preserve">Цель 1: FCR 75%</w:t>
            </w:r>
          </w:p>
        </w:tc>
        <w:tc>
          <w:tcPr>
            <w:tcW w:w="1800" w:type="dxa"/>
          </w:tcPr>
          <w:tcPr/>
          <w:tcPr>
            <w:tcW w:w="1800" w:type="dxa"/>
          </w:tcPr>
          <w:p>
            <w:pPr>
              <w:pStyle w:val="Compact"/>
            </w:pPr>
            <w:r>
              <w:t xml:space="preserve">68 ч/мес</w:t>
            </w:r>
          </w:p>
        </w:tc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>
            <w:tcW w:w="5800" w:type="dxa"/>
          </w:tcPr>
          <w:tcPr/>
          <w:tcPr>
            <w:tcW w:w="5800" w:type="dxa"/>
          </w:tcPr>
          <w:p>
            <w:pPr>
              <w:pStyle w:val="Compact"/>
            </w:pPr>
            <w:r>
              <w:t xml:space="preserve">Цель 2: NPS +50</w:t>
            </w:r>
          </w:p>
        </w:tc>
        <w:tc>
          <w:tcPr>
            <w:tcW w:w="1800" w:type="dxa"/>
          </w:tcPr>
          <w:tcPr/>
          <w:tcPr>
            <w:tcW w:w="1800" w:type="dxa"/>
          </w:tcPr>
          <w:p>
            <w:pPr>
              <w:pStyle w:val="Compact"/>
            </w:pPr>
            <w:r>
              <w:t xml:space="preserve">28 ч/мес</w:t>
            </w:r>
          </w:p>
        </w:tc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>
            <w:tcW w:w="5800" w:type="dxa"/>
          </w:tcPr>
          <w:tcPr/>
          <w:tcPr>
            <w:tcW w:w="5800" w:type="dxa"/>
          </w:tcPr>
          <w:p>
            <w:pPr>
              <w:pStyle w:val="Compact"/>
            </w:pPr>
            <w:r>
              <w:t xml:space="preserve">Цель 3: Повторные покупки 35%</w:t>
            </w:r>
          </w:p>
        </w:tc>
        <w:tc>
          <w:tcPr>
            <w:tcW w:w="1800" w:type="dxa"/>
          </w:tcPr>
          <w:tcPr/>
          <w:tcPr>
            <w:tcW w:w="1800" w:type="dxa"/>
          </w:tcPr>
          <w:p>
            <w:pPr>
              <w:pStyle w:val="Compact"/>
            </w:pPr>
            <w:r>
              <w:t xml:space="preserve">18 ч/мес</w:t>
            </w:r>
          </w:p>
        </w:tc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>
            <w:tcW w:w="5800" w:type="dxa"/>
          </w:tcPr>
          <w:tcPr/>
          <w:tcPr>
            <w:tcW w:w="5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800" w:type="dxa"/>
          </w:tcPr>
          <w:tcPr/>
          <w:tcPr>
            <w:tcW w:w="1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114 ч/мес</w:t>
            </w:r>
          </w:p>
        </w:tc>
        <w:tc>
          <w:tcPr>
            <w:tcW w:w="2000" w:type="dxa"/>
          </w:tcPr>
          <w:tcPr/>
          <w:tcPr>
            <w:tcW w:w="20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26"/>
        </w:numPr>
      </w:pPr>
      <w:r>
        <w:t xml:space="preserve">Цель 1:</w:t>
      </w:r>
    </w:p>
    <w:p>
      <w:pPr>
        <w:pStyle w:val="Compact"/>
        <w:numPr>
          <w:ilvl w:val="1"/>
          <w:numId w:val="1027"/>
        </w:numPr>
      </w:pPr>
      <w:r>
        <w:t xml:space="preserve">AUTO-007</w:t>
      </w:r>
    </w:p>
    <w:p>
      <w:pPr>
        <w:pStyle w:val="Compact"/>
        <w:numPr>
          <w:ilvl w:val="1"/>
          <w:numId w:val="1027"/>
        </w:numPr>
      </w:pPr>
      <w:r>
        <w:t xml:space="preserve">AUTO-008</w:t>
      </w:r>
    </w:p>
    <w:p>
      <w:pPr>
        <w:pStyle w:val="Compact"/>
        <w:numPr>
          <w:ilvl w:val="1"/>
          <w:numId w:val="1027"/>
        </w:numPr>
      </w:pPr>
      <w:r>
        <w:t xml:space="preserve">AUTO-036</w:t>
      </w:r>
    </w:p>
    <w:p>
      <w:pPr>
        <w:pStyle w:val="Compact"/>
        <w:numPr>
          <w:ilvl w:val="0"/>
          <w:numId w:val="1026"/>
        </w:numPr>
      </w:pPr>
      <w:r>
        <w:t xml:space="preserve">Цель 2:</w:t>
      </w:r>
    </w:p>
    <w:p>
      <w:pPr>
        <w:pStyle w:val="Compact"/>
        <w:numPr>
          <w:ilvl w:val="1"/>
          <w:numId w:val="1028"/>
        </w:numPr>
      </w:pPr>
      <w:r>
        <w:t xml:space="preserve">AUTO-024</w:t>
      </w:r>
    </w:p>
    <w:p>
      <w:pPr>
        <w:pStyle w:val="Compact"/>
        <w:numPr>
          <w:ilvl w:val="0"/>
          <w:numId w:val="1026"/>
        </w:numPr>
      </w:pPr>
      <w:r>
        <w:t xml:space="preserve">Цель 3:</w:t>
      </w:r>
    </w:p>
    <w:p>
      <w:pPr>
        <w:pStyle w:val="Compact"/>
        <w:numPr>
          <w:ilvl w:val="1"/>
          <w:numId w:val="1029"/>
        </w:numPr>
      </w:pPr>
      <w:r>
        <w:t xml:space="preserve">AUTO-039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2026-02-28T21:08:41Z</dcterms:created>
  <dcterms:modified xsi:type="dcterms:W3CDTF">2026-02-28T21:08:41Z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