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финансовый-департамент"/>
    <w:p>
      <w:pPr>
        <w:pStyle w:val="Heading1"/>
      </w:pPr>
      <w:r>
        <w:t xml:space="preserve">ФИНАНСОВЫЙ ДЕПАРТАМЕНТ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Назарикова Мария Валентиновна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19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Обеспечить коэффициент текущей ликвидности не ниже 1,2 и 0 дней кассовых разрывов к 31.12.2026 через внедрение системы управления Cash Flow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Планирование и контроль денежных потоков</w:t>
      </w:r>
    </w:p>
    <w:p>
      <w:pPr>
        <w:pStyle w:val="Compact"/>
        <w:numPr>
          <w:ilvl w:val="1"/>
          <w:numId w:val="1002"/>
        </w:numPr>
      </w:pPr>
      <w:r>
        <w:t xml:space="preserve">→ Финансовый отдел (рук. Фомичев): подготовка и формирование управленческой отчётности</w:t>
      </w:r>
    </w:p>
    <w:p>
      <w:pPr>
        <w:pStyle w:val="Compact"/>
        <w:numPr>
          <w:ilvl w:val="1"/>
          <w:numId w:val="1002"/>
        </w:numPr>
      </w:pPr>
      <w:r>
        <w:t xml:space="preserve">→ Финансовый отдел (рук. Фомичев): формирование отчётов о результативности компании</w:t>
      </w:r>
    </w:p>
    <w:p>
      <w:pPr>
        <w:pStyle w:val="Compact"/>
        <w:numPr>
          <w:ilvl w:val="1"/>
          <w:numId w:val="1002"/>
        </w:numPr>
      </w:pPr>
      <w:r>
        <w:t xml:space="preserve">→ Финансовый отдел (рук. Фомичев): анализ денежных потоков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ликвидностью</w:t>
      </w:r>
    </w:p>
    <w:p>
      <w:pPr>
        <w:pStyle w:val="Compact"/>
        <w:numPr>
          <w:ilvl w:val="1"/>
          <w:numId w:val="1004"/>
        </w:numPr>
      </w:pPr>
      <w:r>
        <w:t xml:space="preserve">→ Финансовый отдел (рук. Фомичев): бюджетирование и планирование</w:t>
      </w:r>
    </w:p>
    <w:p>
      <w:pPr>
        <w:pStyle w:val="Compact"/>
        <w:numPr>
          <w:ilvl w:val="1"/>
          <w:numId w:val="1004"/>
        </w:numPr>
      </w:pPr>
      <w:r>
        <w:t xml:space="preserve">→ Банковская группа (рук. Лебедева): своевременное отражение входящих денежных средств</w:t>
      </w:r>
    </w:p>
    <w:p>
      <w:pPr>
        <w:pStyle w:val="Compact"/>
        <w:numPr>
          <w:ilvl w:val="1"/>
          <w:numId w:val="1004"/>
        </w:numPr>
      </w:pPr>
      <w:r>
        <w:t xml:space="preserve">→ Банковская группа (рук. Лебедева): выгрузка платежей из банковских ведомостей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Корректное отражение обязательств</w:t>
      </w:r>
    </w:p>
    <w:p>
      <w:pPr>
        <w:pStyle w:val="Compact"/>
        <w:numPr>
          <w:ilvl w:val="1"/>
          <w:numId w:val="1006"/>
        </w:numPr>
      </w:pPr>
      <w:r>
        <w:t xml:space="preserve">→ Банковская группа (рук. Лебедева): отчётность по состоянию денежных средств</w:t>
      </w:r>
    </w:p>
    <w:p>
      <w:pPr>
        <w:pStyle w:val="Compact"/>
        <w:numPr>
          <w:ilvl w:val="1"/>
          <w:numId w:val="1006"/>
        </w:numPr>
      </w:pPr>
      <w:r>
        <w:t xml:space="preserve">→ Банковская группа (рук. Лебедева): работа с 16 банками</w:t>
      </w:r>
    </w:p>
    <w:p>
      <w:pPr>
        <w:pStyle w:val="Compact"/>
        <w:numPr>
          <w:ilvl w:val="1"/>
          <w:numId w:val="1006"/>
        </w:numPr>
      </w:pPr>
      <w:r>
        <w:t xml:space="preserve">→ Банковская группа (рук. Лебедева): своевременное отражение входящих денежных средств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Контроль расчётов</w:t>
      </w:r>
    </w:p>
    <w:p>
      <w:pPr>
        <w:pStyle w:val="Compact"/>
        <w:numPr>
          <w:ilvl w:val="1"/>
          <w:numId w:val="1008"/>
        </w:numPr>
      </w:pPr>
      <w:r>
        <w:t xml:space="preserve">→ Банковская группа (рук. Лебедева): выгрузка платежей из банковских ведомостей</w:t>
      </w:r>
    </w:p>
    <w:p>
      <w:pPr>
        <w:pStyle w:val="Compact"/>
        <w:numPr>
          <w:ilvl w:val="1"/>
          <w:numId w:val="1008"/>
        </w:numPr>
      </w:pPr>
      <w:r>
        <w:t xml:space="preserve">→ Банковская группа (рук. Лебедева): отчётность по состоянию денежных средств</w:t>
      </w:r>
    </w:p>
    <w:p>
      <w:pPr>
        <w:pStyle w:val="Compact"/>
        <w:numPr>
          <w:ilvl w:val="1"/>
          <w:numId w:val="1008"/>
        </w:numPr>
      </w:pPr>
      <w:r>
        <w:t xml:space="preserve">→ Банковская группа (рук. Лебедева): работа с 16 банками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9"/>
        </w:numPr>
      </w:pPr>
      <w:r>
        <w:t xml:space="preserve">AUTO-014: Платёжный календарь — 22 ч/мес</w:t>
      </w:r>
    </w:p>
    <w:p>
      <w:pPr>
        <w:pStyle w:val="Compact"/>
        <w:numPr>
          <w:ilvl w:val="0"/>
          <w:numId w:val="1009"/>
        </w:numPr>
      </w:pPr>
      <w:r>
        <w:t xml:space="preserve">AUTO-032: Автокатегоризация расходов — 26 ч/мес</w:t>
      </w:r>
    </w:p>
    <w:p>
      <w:pPr>
        <w:pStyle w:val="Compact"/>
        <w:numPr>
          <w:ilvl w:val="0"/>
          <w:numId w:val="1009"/>
        </w:numPr>
      </w:pPr>
      <w:r>
        <w:t xml:space="preserve">DASH-07: Дашборд Cash Flow — 22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0"/>
        </w:numPr>
      </w:pPr>
      <w:r>
        <w:t xml:space="preserve">TZ-08: Финансовое планирование — 176 ч/ч, 528 000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-критическая"/>
    <w:p>
      <w:pPr>
        <w:pStyle w:val="Heading2"/>
      </w:pPr>
      <w:r>
        <w:t xml:space="preserve">ЦЕЛЬ 2 (КРИТИЧЕСКАЯ)</w:t>
      </w:r>
    </w:p>
    <w:p>
      <w:pPr>
        <w:pStyle w:val="FirstParagraph"/>
      </w:pPr>
      <w:r>
        <w:t xml:space="preserve">Обеспечить рентабельность продаж (ROS) на уровне не ниже 5% к 31.12.2026 через контроль маржинальности и оптимизацию операционных расходов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Контроль маржинальности</w:t>
      </w:r>
    </w:p>
    <w:p>
      <w:pPr>
        <w:pStyle w:val="Compact"/>
        <w:numPr>
          <w:ilvl w:val="1"/>
          <w:numId w:val="1012"/>
        </w:numPr>
      </w:pPr>
      <w:r>
        <w:t xml:space="preserve">→ Финансовый отдел (рук. Фомичев): формирование аналитических отчётов</w:t>
      </w:r>
    </w:p>
    <w:p>
      <w:pPr>
        <w:pStyle w:val="Compact"/>
        <w:numPr>
          <w:ilvl w:val="1"/>
          <w:numId w:val="1012"/>
        </w:numPr>
      </w:pPr>
      <w:r>
        <w:t xml:space="preserve">→ Финансовый отдел (рук. Фомичев): анализ маржинальности по направлениям</w:t>
      </w:r>
    </w:p>
    <w:p>
      <w:pPr>
        <w:pStyle w:val="Compact"/>
        <w:numPr>
          <w:ilvl w:val="1"/>
          <w:numId w:val="1012"/>
        </w:numPr>
      </w:pPr>
      <w:r>
        <w:t xml:space="preserve">→ Финансовый отдел (рук. Фомичев): контроль операционных расходов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Анализ прибыли по сегментам и направлениям</w:t>
      </w:r>
    </w:p>
    <w:p>
      <w:pPr>
        <w:pStyle w:val="Compact"/>
        <w:numPr>
          <w:ilvl w:val="1"/>
          <w:numId w:val="1014"/>
        </w:numPr>
      </w:pPr>
      <w:r>
        <w:t xml:space="preserve">→ Бухгалтерия группы компаний (рук. Волкова): учёт расходов и доходов</w:t>
      </w:r>
    </w:p>
    <w:p>
      <w:pPr>
        <w:pStyle w:val="Compact"/>
        <w:numPr>
          <w:ilvl w:val="1"/>
          <w:numId w:val="1014"/>
        </w:numPr>
      </w:pPr>
      <w:r>
        <w:t xml:space="preserve">→ Бухгалтерия группы компаний (рук. Волкова): взаиморасчёты и сверки с контрагентами</w:t>
      </w:r>
    </w:p>
    <w:p>
      <w:pPr>
        <w:pStyle w:val="Compact"/>
        <w:numPr>
          <w:ilvl w:val="1"/>
          <w:numId w:val="1014"/>
        </w:numPr>
      </w:pPr>
      <w:r>
        <w:t xml:space="preserve">→ Бухгалтерия группы компаний (рук. Волкова): консолидация отчётности по группе компаний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Корректное формирование бухгалтерской и налоговой прибыли</w:t>
      </w:r>
    </w:p>
    <w:p>
      <w:pPr>
        <w:pStyle w:val="Compact"/>
        <w:numPr>
          <w:ilvl w:val="1"/>
          <w:numId w:val="1016"/>
        </w:numPr>
      </w:pPr>
      <w:r>
        <w:t xml:space="preserve">→ Бухгалтерия группы компаний (рук. Волкова): учёт расходов и доходов</w:t>
      </w:r>
    </w:p>
    <w:p>
      <w:pPr>
        <w:pStyle w:val="Compact"/>
        <w:numPr>
          <w:ilvl w:val="1"/>
          <w:numId w:val="1016"/>
        </w:numPr>
      </w:pPr>
      <w:r>
        <w:t xml:space="preserve">→ Бухгалтерия группы компаний (рук. Волкова): взаиморасчёты и сверки с контрагентами</w:t>
      </w:r>
    </w:p>
    <w:p>
      <w:pPr>
        <w:pStyle w:val="Compact"/>
        <w:numPr>
          <w:ilvl w:val="1"/>
          <w:numId w:val="1016"/>
        </w:numPr>
      </w:pPr>
      <w:r>
        <w:t xml:space="preserve">→ Бухгалтерия группы компаний (рук. Волкова): консолидация отчётности по группе компаний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7"/>
        </w:numPr>
      </w:pPr>
      <w:r>
        <w:t xml:space="preserve">AUTO-006: Перенос Invoice Tracker в Power BI — 26 ч/мес</w:t>
      </w:r>
    </w:p>
    <w:p>
      <w:pPr>
        <w:pStyle w:val="Compact"/>
        <w:numPr>
          <w:ilvl w:val="0"/>
          <w:numId w:val="1017"/>
        </w:numPr>
      </w:pPr>
      <w:r>
        <w:t xml:space="preserve">AUTO-031: Автоматический P&amp;L — 55 ч/мес</w:t>
      </w:r>
    </w:p>
    <w:p>
      <w:pPr>
        <w:pStyle w:val="Compact"/>
        <w:numPr>
          <w:ilvl w:val="0"/>
          <w:numId w:val="1017"/>
        </w:numPr>
      </w:pPr>
      <w:r>
        <w:t xml:space="preserve">DASH-01: Дашборд P&amp;L — 55 ч/мес</w:t>
      </w:r>
    </w:p>
    <w:p>
      <w:pPr>
        <w:pStyle w:val="Compact"/>
        <w:numPr>
          <w:ilvl w:val="0"/>
          <w:numId w:val="1017"/>
        </w:numPr>
      </w:pPr>
      <w:r>
        <w:t xml:space="preserve">DASH-03: Дашборд счетов на оплату — 26 ч/мес</w:t>
      </w:r>
    </w:p>
    <w:p>
      <w:pPr>
        <w:pStyle w:val="Compact"/>
        <w:numPr>
          <w:ilvl w:val="0"/>
          <w:numId w:val="1017"/>
        </w:numPr>
      </w:pPr>
      <w:r>
        <w:t xml:space="preserve">DASH-04: Дашборд воронки продаж — 18 ч/мес</w:t>
      </w:r>
    </w:p>
    <w:p>
      <w:pPr>
        <w:pStyle w:val="Compact"/>
        <w:numPr>
          <w:ilvl w:val="0"/>
          <w:numId w:val="1017"/>
        </w:numPr>
      </w:pPr>
      <w:r>
        <w:t xml:space="preserve">DASH-08: Дашборд задолженностей — 13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8"/>
        </w:numPr>
      </w:pPr>
      <w:r>
        <w:t xml:space="preserve">TZ-07: BI-система Power BI — 620 ч/ч, 1 860 000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Обеспечить срок закрытия месяца не более 5 рабочих дней и 100% достоверность управленческой отчётности к 30.06.2026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Подготовка прозрачной управленческой отчётности</w:t>
      </w:r>
    </w:p>
    <w:p>
      <w:pPr>
        <w:pStyle w:val="Compact"/>
        <w:numPr>
          <w:ilvl w:val="1"/>
          <w:numId w:val="1020"/>
        </w:numPr>
      </w:pPr>
      <w:r>
        <w:t xml:space="preserve">→ Бухгалтерия группы компаний (рук. Волкова): подготовка данных по наземному обслуживанию (более 15 тыс. транзакций)</w:t>
      </w:r>
    </w:p>
    <w:p>
      <w:pPr>
        <w:pStyle w:val="Compact"/>
        <w:numPr>
          <w:ilvl w:val="1"/>
          <w:numId w:val="1020"/>
        </w:numPr>
      </w:pPr>
      <w:r>
        <w:t xml:space="preserve">→ Бухгалтерия группы компаний (рук. Волкова): начисление зарплаты и налогов</w:t>
      </w:r>
    </w:p>
    <w:p>
      <w:pPr>
        <w:pStyle w:val="Compact"/>
        <w:numPr>
          <w:ilvl w:val="1"/>
          <w:numId w:val="1020"/>
        </w:numPr>
      </w:pPr>
      <w:r>
        <w:t xml:space="preserve">→ Бухгалтерия (рук. Соколова): соблюдение законодательства, ПБУ, Плана счетов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Достоверная бухгалтерская отчётность</w:t>
      </w:r>
    </w:p>
    <w:p>
      <w:pPr>
        <w:pStyle w:val="Compact"/>
        <w:numPr>
          <w:ilvl w:val="1"/>
          <w:numId w:val="1022"/>
        </w:numPr>
      </w:pPr>
      <w:r>
        <w:t xml:space="preserve">→ Бухгалтерия (рук. Соколова): утверждение Учётной политики</w:t>
      </w:r>
    </w:p>
    <w:p>
      <w:pPr>
        <w:pStyle w:val="Compact"/>
        <w:numPr>
          <w:ilvl w:val="1"/>
          <w:numId w:val="1022"/>
        </w:numPr>
      </w:pPr>
      <w:r>
        <w:t xml:space="preserve">→ Бухгалтерия (рук. Соколова): ведение первичной документации</w:t>
      </w:r>
    </w:p>
    <w:p>
      <w:pPr>
        <w:pStyle w:val="Compact"/>
        <w:numPr>
          <w:ilvl w:val="1"/>
          <w:numId w:val="1022"/>
        </w:numPr>
      </w:pPr>
      <w:r>
        <w:t xml:space="preserve">→ Бухгалтерия (рук. Соколова): работа с 5 юридическими лицами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Ускорение закрытия периода</w:t>
      </w:r>
    </w:p>
    <w:p>
      <w:pPr>
        <w:pStyle w:val="Compact"/>
        <w:numPr>
          <w:ilvl w:val="1"/>
          <w:numId w:val="1024"/>
        </w:numPr>
      </w:pPr>
      <w:r>
        <w:t xml:space="preserve">→ Бухгалтерия (рук. Соколова): соблюдение законодательства, ПБУ, Плана счетов</w:t>
      </w:r>
    </w:p>
    <w:p>
      <w:pPr>
        <w:pStyle w:val="Compact"/>
        <w:numPr>
          <w:ilvl w:val="1"/>
          <w:numId w:val="1024"/>
        </w:numPr>
      </w:pPr>
      <w:r>
        <w:t xml:space="preserve">→ Бухгалтерия (рук. Соколова): утверждение Учётной политики</w:t>
      </w:r>
    </w:p>
    <w:p>
      <w:pPr>
        <w:pStyle w:val="Compact"/>
        <w:numPr>
          <w:ilvl w:val="1"/>
          <w:numId w:val="1024"/>
        </w:numPr>
      </w:pPr>
      <w:r>
        <w:t xml:space="preserve">→ Бухгалтерия (рук. Соколова): ведение первичной документации</w:t>
      </w:r>
    </w:p>
    <w:p>
      <w:pPr>
        <w:pStyle w:val="Compact"/>
        <w:numPr>
          <w:ilvl w:val="1"/>
          <w:numId w:val="1024"/>
        </w:numPr>
      </w:pPr>
      <w:r>
        <w:t xml:space="preserve">→ Бухгалтерия (рук. Соколова): работа с 5 юридическими лицами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5"/>
        </w:numPr>
      </w:pPr>
      <w:r>
        <w:t xml:space="preserve">AUTO-005: Интеграция GDS в 1С — 81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6"/>
        </w:numPr>
      </w:pPr>
      <w:r>
        <w:t xml:space="preserve">TZ-12: Интеграция GDS → 1С — 1 667 ч/ч, 5 001 000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"/>
    <w:p>
      <w:pPr>
        <w:pStyle w:val="Heading2"/>
      </w:pPr>
      <w:r>
        <w:t xml:space="preserve">ЦЕЛЬ 4</w:t>
      </w:r>
    </w:p>
    <w:p>
      <w:pPr>
        <w:pStyle w:val="FirstParagraph"/>
      </w:pPr>
      <w:r>
        <w:t xml:space="preserve">Внедрить систему хеджирования валютных рисков: отклонение фактического курса от бюджетного не более 3%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Управление финансовыми рисками</w:t>
      </w:r>
    </w:p>
    <w:p>
      <w:pPr>
        <w:pStyle w:val="Compact"/>
        <w:numPr>
          <w:ilvl w:val="1"/>
          <w:numId w:val="1028"/>
        </w:numPr>
      </w:pPr>
      <w:r>
        <w:t xml:space="preserve">→ Финансовый отдел (рук. Фомичев): анализ валютных рисков</w:t>
      </w:r>
    </w:p>
    <w:p>
      <w:pPr>
        <w:pStyle w:val="Compact"/>
        <w:numPr>
          <w:ilvl w:val="1"/>
          <w:numId w:val="1028"/>
        </w:numPr>
      </w:pPr>
      <w:r>
        <w:t xml:space="preserve">→ Финансовый отдел (рук. Фомичев): формирование стратегии хеджирования</w:t>
      </w:r>
    </w:p>
    <w:p>
      <w:pPr>
        <w:pStyle w:val="Compact"/>
        <w:numPr>
          <w:ilvl w:val="1"/>
          <w:numId w:val="1028"/>
        </w:numPr>
      </w:pPr>
      <w:r>
        <w:t xml:space="preserve">→ Финансовый отдел (рук. Фомичев): мониторинг курсов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Контроль валютных позиций</w:t>
      </w:r>
    </w:p>
    <w:p>
      <w:pPr>
        <w:pStyle w:val="Compact"/>
        <w:numPr>
          <w:ilvl w:val="1"/>
          <w:numId w:val="1030"/>
        </w:numPr>
      </w:pPr>
      <w:r>
        <w:t xml:space="preserve">→ Группа по расчётам с иностранными поставщиками (рук. Мигунова): отбор заявок на оплату и проверка инвойсов</w:t>
      </w:r>
    </w:p>
    <w:p>
      <w:pPr>
        <w:pStyle w:val="Compact"/>
        <w:numPr>
          <w:ilvl w:val="1"/>
          <w:numId w:val="1030"/>
        </w:numPr>
      </w:pPr>
      <w:r>
        <w:t xml:space="preserve">→ Группа по расчётам с иностранными поставщиками (рук. Мигунова): заполнение balance payment и ведение реестра</w:t>
      </w:r>
    </w:p>
    <w:p>
      <w:pPr>
        <w:pStyle w:val="Compact"/>
        <w:numPr>
          <w:ilvl w:val="1"/>
          <w:numId w:val="1030"/>
        </w:numPr>
      </w:pPr>
      <w:r>
        <w:t xml:space="preserve">→ Группа по расчётам с иностранными поставщиками (рук. Мигунова): согласование оплат с финансовым директором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Прогнозирование курсовых разниц</w:t>
      </w:r>
    </w:p>
    <w:p>
      <w:pPr>
        <w:pStyle w:val="Compact"/>
        <w:numPr>
          <w:ilvl w:val="1"/>
          <w:numId w:val="1032"/>
        </w:numPr>
      </w:pPr>
      <w:r>
        <w:t xml:space="preserve">→ Группа по расчётам с иностранными поставщиками (рук. Мигунова): валютный контроль</w:t>
      </w:r>
    </w:p>
    <w:p>
      <w:pPr>
        <w:pStyle w:val="Compact"/>
        <w:numPr>
          <w:ilvl w:val="1"/>
          <w:numId w:val="1032"/>
        </w:numPr>
      </w:pPr>
      <w:r>
        <w:t xml:space="preserve">→ Группа по расчётам с иностранными поставщиками (рук. Мигунова): отбор заявок на оплату и проверка инвойсов</w:t>
      </w:r>
    </w:p>
    <w:p>
      <w:pPr>
        <w:pStyle w:val="Compact"/>
        <w:numPr>
          <w:ilvl w:val="1"/>
          <w:numId w:val="1032"/>
        </w:numPr>
      </w:pPr>
      <w:r>
        <w:t xml:space="preserve">→ Группа по расчётам с иностранными поставщиками (рук. Мигунова): заполнение balance payment и ведение реестра</w:t>
      </w:r>
    </w:p>
    <w:p>
      <w:pPr>
        <w:pStyle w:val="Compact"/>
        <w:numPr>
          <w:ilvl w:val="1"/>
          <w:numId w:val="1032"/>
        </w:numPr>
      </w:pPr>
      <w:r>
        <w:t xml:space="preserve">→ Группа по расчётам с иностранными поставщиками (рук. Мигунова): согласование оплат с финансовым директором</w:t>
      </w:r>
    </w:p>
    <w:p>
      <w:pPr>
        <w:pStyle w:val="Compact"/>
        <w:numPr>
          <w:ilvl w:val="1"/>
          <w:numId w:val="1032"/>
        </w:numPr>
      </w:pPr>
      <w:r>
        <w:t xml:space="preserve">→ Группа по расчётам с иностранными поставщиками (рук. Мигунова): валютный контроль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33"/>
        </w:numPr>
      </w:pPr>
      <w:r>
        <w:t xml:space="preserve">Нет специфичных AUTO-точек (аналитические процедуры)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904"/>
        <w:gridCol w:w="2939"/>
        <w:gridCol w:w="1808"/>
        <w:gridCol w:w="782"/>
        <w:gridCol w:w="3165"/>
      </w:tblGrid>
      <w:tr>
        <w:trPr>
          <w:tblHeader w:val="on"/>
        </w:trPr>
        <w:tc>
          <w:tcPr>
            <w:tcW w:w="904" w:type="dxa"/>
            <w:shd w:val="clear" w:color="auto" w:fill="D9E2F3"/>
          </w:tcPr>
          <w:tcPr/>
          <w:tcPr>
            <w:tcW w:w="904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939" w:type="dxa"/>
            <w:shd w:val="clear" w:color="auto" w:fill="D9E2F3"/>
          </w:tcPr>
          <w:tcPr/>
          <w:tcPr>
            <w:tcW w:w="2939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808" w:type="dxa"/>
            <w:shd w:val="clear" w:color="auto" w:fill="D9E2F3"/>
          </w:tcPr>
          <w:tcPr/>
          <w:tcPr>
            <w:tcW w:w="1808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2" w:type="dxa"/>
            <w:shd w:val="clear" w:color="auto" w:fill="D9E2F3"/>
          </w:tcPr>
          <w:tcPr/>
          <w:tcPr>
            <w:tcW w:w="782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3165" w:type="dxa"/>
            <w:shd w:val="clear" w:color="auto" w:fill="D9E2F3"/>
          </w:tcPr>
          <w:tcPr/>
          <w:tcPr>
            <w:tcW w:w="3165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AUTO-005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GDS в 1С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81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TZ-12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Бухгалтерия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AUTO-006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Invoice Tracker → Power BI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AUTO-014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TZ-08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AUTO-031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Автоматический P&amp;L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AUTO-032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Автокатегоризация расходов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TZ-08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Банковская группа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DASH-01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Дашборд P&amp;L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DASH-03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Дашборд счетов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DASH-04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Дашборд воронки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DASH-07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Дашборд Cash Flow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TZ-08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t xml:space="preserve">DASH-08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  <w:r>
              <w:t xml:space="preserve">Дашборд задолженностей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  <w:r>
              <w:t xml:space="preserve">Анкета L2: Бухгалтерия</w:t>
            </w:r>
          </w:p>
        </w:tc>
      </w:tr>
      <w:tr>
        <w:tc>
          <w:tcPr>
            <w:tcW w:w="904" w:type="dxa"/>
          </w:tcPr>
          <w:tcPr/>
          <w:tcPr>
            <w:tcW w:w="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939" w:type="dxa"/>
          </w:tcPr>
          <w:tcPr/>
          <w:tcPr>
            <w:tcW w:w="2939" w:type="dxa"/>
          </w:tcPr>
          <w:p>
            <w:pPr>
              <w:pStyle w:val="Compact"/>
            </w:pP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344 ч/мес</w:t>
            </w:r>
          </w:p>
        </w:tc>
        <w:tc>
          <w:tcPr>
            <w:tcW w:w="782" w:type="dxa"/>
          </w:tcPr>
          <w:tcPr/>
          <w:tcPr>
            <w:tcW w:w="782" w:type="dxa"/>
          </w:tcPr>
          <w:p>
            <w:pPr>
              <w:pStyle w:val="Compact"/>
            </w:pPr>
          </w:p>
        </w:tc>
        <w:tc>
          <w:tcPr>
            <w:tcW w:w="3165" w:type="dxa"/>
          </w:tcPr>
          <w:tcPr/>
          <w:tcPr>
            <w:tcW w:w="3165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34"/>
        </w:numPr>
      </w:pPr>
      <w:r>
        <w:t xml:space="preserve">81+26+22+55+26+55+26+18+22+13 = 344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66"/>
        <w:gridCol w:w="2266"/>
        <w:gridCol w:w="2533"/>
        <w:gridCol w:w="1733"/>
      </w:tblGrid>
      <w:tr>
        <w:trPr>
          <w:tblHeader w:val="on"/>
        </w:trPr>
        <w:tc>
          <w:tcPr>
            <w:tcW w:w="3066" w:type="dxa"/>
            <w:shd w:val="clear" w:color="auto" w:fill="D9E2F3"/>
          </w:tcPr>
          <w:tcPr/>
          <w:tcPr>
            <w:tcW w:w="3066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266" w:type="dxa"/>
            <w:shd w:val="clear" w:color="auto" w:fill="D9E2F3"/>
          </w:tcPr>
          <w:tcPr/>
          <w:tcPr>
            <w:tcW w:w="22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533" w:type="dxa"/>
            <w:shd w:val="clear" w:color="auto" w:fill="D9E2F3"/>
          </w:tcPr>
          <w:tcPr/>
          <w:tcPr>
            <w:tcW w:w="2533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33" w:type="dxa"/>
            <w:shd w:val="clear" w:color="auto" w:fill="D9E2F3"/>
          </w:tcPr>
          <w:tcPr/>
          <w:tcPr>
            <w:tcW w:w="173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344 ч/мес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204 680 руб/мес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344 ч × 595 руб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2 456 160 руб/год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204 680 × 12 мес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454"/>
        <w:gridCol w:w="6691"/>
        <w:gridCol w:w="1454"/>
      </w:tblGrid>
      <w:tr>
        <w:trPr>
          <w:tblHeader w:val="on"/>
        </w:trPr>
        <w:tc>
          <w:tcPr>
            <w:tcW w:w="1454" w:type="dxa"/>
            <w:shd w:val="clear" w:color="auto" w:fill="D9E2F3"/>
          </w:tcPr>
          <w:tcPr/>
          <w:tcPr>
            <w:tcW w:w="1454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6691" w:type="dxa"/>
            <w:shd w:val="clear" w:color="auto" w:fill="D9E2F3"/>
          </w:tcPr>
          <w:tcPr/>
          <w:tcPr>
            <w:tcW w:w="6691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454" w:type="dxa"/>
            <w:shd w:val="clear" w:color="auto" w:fill="D9E2F3"/>
          </w:tcPr>
          <w:tcPr/>
          <w:tcPr>
            <w:tcW w:w="1454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6691" w:type="dxa"/>
          </w:tcPr>
          <w:tcPr/>
          <w:tcPr>
            <w:tcW w:w="6691" w:type="dxa"/>
          </w:tcPr>
          <w:p>
            <w:pPr>
              <w:pStyle w:val="Compact"/>
            </w:pPr>
            <w:r>
              <w:t xml:space="preserve">BI-система Power BI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TZ-08</w:t>
            </w:r>
          </w:p>
        </w:tc>
        <w:tc>
          <w:tcPr>
            <w:tcW w:w="6691" w:type="dxa"/>
          </w:tcPr>
          <w:tcPr/>
          <w:tcPr>
            <w:tcW w:w="6691" w:type="dxa"/>
          </w:tcPr>
          <w:p>
            <w:pPr>
              <w:pStyle w:val="Compact"/>
            </w:pPr>
            <w:r>
              <w:t xml:space="preserve">Финансовое планирование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TZ-12</w:t>
            </w:r>
          </w:p>
        </w:tc>
        <w:tc>
          <w:tcPr>
            <w:tcW w:w="6691" w:type="dxa"/>
          </w:tcPr>
          <w:tcPr/>
          <w:tcPr>
            <w:tcW w:w="6691" w:type="dxa"/>
          </w:tcPr>
          <w:p>
            <w:pPr>
              <w:pStyle w:val="Compact"/>
            </w:pPr>
            <w:r>
              <w:t xml:space="preserve">Интеграция GDS → 1С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257"/>
        <w:gridCol w:w="2057"/>
        <w:gridCol w:w="2285"/>
      </w:tblGrid>
      <w:tr>
        <w:trPr>
          <w:tblHeader w:val="on"/>
        </w:trPr>
        <w:tc>
          <w:tcPr>
            <w:tcW w:w="5257" w:type="dxa"/>
            <w:shd w:val="clear" w:color="auto" w:fill="D9E2F3"/>
          </w:tcPr>
          <w:tcPr/>
          <w:tcPr>
            <w:tcW w:w="5257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285" w:type="dxa"/>
            <w:shd w:val="clear" w:color="auto" w:fill="D9E2F3"/>
          </w:tcPr>
          <w:tcPr/>
          <w:tcPr>
            <w:tcW w:w="2285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257" w:type="dxa"/>
          </w:tcPr>
          <w:tcPr/>
          <w:tcPr>
            <w:tcW w:w="5257" w:type="dxa"/>
          </w:tcPr>
          <w:p>
            <w:pPr>
              <w:pStyle w:val="Compact"/>
            </w:pPr>
            <w:r>
              <w:t xml:space="preserve">Цель 1: Ликвидность 1,2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70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>
            <w:tcW w:w="5257" w:type="dxa"/>
          </w:tcPr>
          <w:tcPr/>
          <w:tcPr>
            <w:tcW w:w="5257" w:type="dxa"/>
          </w:tcPr>
          <w:p>
            <w:pPr>
              <w:pStyle w:val="Compact"/>
            </w:pPr>
            <w:r>
              <w:t xml:space="preserve">Цель 2: ROS 5%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193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56%</w:t>
            </w:r>
          </w:p>
        </w:tc>
      </w:tr>
      <w:tr>
        <w:tc>
          <w:tcPr>
            <w:tcW w:w="5257" w:type="dxa"/>
          </w:tcPr>
          <w:tcPr/>
          <w:tcPr>
            <w:tcW w:w="5257" w:type="dxa"/>
          </w:tcPr>
          <w:p>
            <w:pPr>
              <w:pStyle w:val="Compact"/>
            </w:pPr>
            <w:r>
              <w:t xml:space="preserve">Цель 3: Закрытие 5 дней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81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>
            <w:tcW w:w="5257" w:type="dxa"/>
          </w:tcPr>
          <w:tcPr/>
          <w:tcPr>
            <w:tcW w:w="5257" w:type="dxa"/>
          </w:tcPr>
          <w:p>
            <w:pPr>
              <w:pStyle w:val="Compact"/>
            </w:pPr>
            <w:r>
              <w:t xml:space="preserve">Цель 4: Хеджирование 3%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257" w:type="dxa"/>
          </w:tcPr>
          <w:tcPr/>
          <w:tcPr>
            <w:tcW w:w="5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344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35"/>
        </w:numPr>
      </w:pPr>
      <w:r>
        <w:t xml:space="preserve">Цель 1:</w:t>
      </w:r>
    </w:p>
    <w:p>
      <w:pPr>
        <w:pStyle w:val="Compact"/>
        <w:numPr>
          <w:ilvl w:val="1"/>
          <w:numId w:val="1036"/>
        </w:numPr>
      </w:pPr>
      <w:r>
        <w:t xml:space="preserve">AUTO-014</w:t>
      </w:r>
    </w:p>
    <w:p>
      <w:pPr>
        <w:pStyle w:val="Compact"/>
        <w:numPr>
          <w:ilvl w:val="1"/>
          <w:numId w:val="1036"/>
        </w:numPr>
      </w:pPr>
      <w:r>
        <w:t xml:space="preserve">AUTO-032</w:t>
      </w:r>
    </w:p>
    <w:p>
      <w:pPr>
        <w:pStyle w:val="Compact"/>
        <w:numPr>
          <w:ilvl w:val="1"/>
          <w:numId w:val="1036"/>
        </w:numPr>
      </w:pPr>
      <w:r>
        <w:t xml:space="preserve">DASH-07</w:t>
      </w:r>
    </w:p>
    <w:p>
      <w:pPr>
        <w:pStyle w:val="Compact"/>
        <w:numPr>
          <w:ilvl w:val="0"/>
          <w:numId w:val="1035"/>
        </w:numPr>
      </w:pPr>
      <w:r>
        <w:t xml:space="preserve">Цель 2:</w:t>
      </w:r>
    </w:p>
    <w:p>
      <w:pPr>
        <w:pStyle w:val="Compact"/>
        <w:numPr>
          <w:ilvl w:val="1"/>
          <w:numId w:val="1037"/>
        </w:numPr>
      </w:pPr>
      <w:r>
        <w:t xml:space="preserve">AUTO-006</w:t>
      </w:r>
    </w:p>
    <w:p>
      <w:pPr>
        <w:pStyle w:val="Compact"/>
        <w:numPr>
          <w:ilvl w:val="1"/>
          <w:numId w:val="1037"/>
        </w:numPr>
      </w:pPr>
      <w:r>
        <w:t xml:space="preserve">AUTO-031</w:t>
      </w:r>
    </w:p>
    <w:p>
      <w:pPr>
        <w:pStyle w:val="Compact"/>
        <w:numPr>
          <w:ilvl w:val="1"/>
          <w:numId w:val="1037"/>
        </w:numPr>
      </w:pPr>
      <w:r>
        <w:t xml:space="preserve">DASH-01</w:t>
      </w:r>
    </w:p>
    <w:p>
      <w:pPr>
        <w:pStyle w:val="Compact"/>
        <w:numPr>
          <w:ilvl w:val="1"/>
          <w:numId w:val="1037"/>
        </w:numPr>
      </w:pPr>
      <w:r>
        <w:t xml:space="preserve">DASH-03</w:t>
      </w:r>
    </w:p>
    <w:p>
      <w:pPr>
        <w:pStyle w:val="Compact"/>
        <w:numPr>
          <w:ilvl w:val="1"/>
          <w:numId w:val="1037"/>
        </w:numPr>
      </w:pPr>
      <w:r>
        <w:t xml:space="preserve">DASH-04</w:t>
      </w:r>
    </w:p>
    <w:p>
      <w:pPr>
        <w:pStyle w:val="Compact"/>
        <w:numPr>
          <w:ilvl w:val="1"/>
          <w:numId w:val="1037"/>
        </w:numPr>
      </w:pPr>
      <w:r>
        <w:t xml:space="preserve">DASH-08</w:t>
      </w:r>
    </w:p>
    <w:p>
      <w:pPr>
        <w:pStyle w:val="Compact"/>
        <w:numPr>
          <w:ilvl w:val="0"/>
          <w:numId w:val="1035"/>
        </w:numPr>
      </w:pPr>
      <w:r>
        <w:t xml:space="preserve">Цель 3:</w:t>
      </w:r>
    </w:p>
    <w:p>
      <w:pPr>
        <w:pStyle w:val="Compact"/>
        <w:numPr>
          <w:ilvl w:val="1"/>
          <w:numId w:val="1038"/>
        </w:numPr>
      </w:pPr>
      <w:r>
        <w:t xml:space="preserve">AUTO-005</w:t>
      </w:r>
    </w:p>
    <w:p>
      <w:pPr>
        <w:pStyle w:val="Compact"/>
        <w:numPr>
          <w:ilvl w:val="0"/>
          <w:numId w:val="1035"/>
        </w:numPr>
      </w:pPr>
      <w:r>
        <w:t xml:space="preserve">Цель 4:</w:t>
      </w:r>
    </w:p>
    <w:p>
      <w:pPr>
        <w:pStyle w:val="Compact"/>
        <w:numPr>
          <w:ilvl w:val="1"/>
          <w:numId w:val="1039"/>
        </w:numPr>
      </w:pPr>
      <w:r>
        <w:t xml:space="preserve">аналитические процедуры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2026-02-28T21:08:41Z</dcterms:created>
  <dcterms:modified xsi:type="dcterms:W3CDTF">2026-02-28T21:08:41Z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