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3a79f64634969faedacb7b1baf041703aeb05a"/>
    <w:p>
      <w:pPr>
        <w:pStyle w:val="Heading1"/>
      </w:pPr>
      <w:r>
        <w:t xml:space="preserve">BP-06: Клиентская поддержка и маршрутизация</w:t>
      </w:r>
    </w:p>
    <w:p>
      <w: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</w:pPr>
      <w:r>
        <w:t xml:space="preserve">1. Общая информация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576"/>
        <w:gridCol w:w="8023"/>
      </w:tblGrid>
      <w:tr>
        <w:trPr>
          <w:tblHeader w:val="on"/>
        </w:trPr>
        <w:tc>
          <w:tcPr>
            <w:tcW w:w="157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57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802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802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576" w:type="dxa"/>
          </w:tcPr>
          <w:tcPr/>
          <w:tcPr>
            <w:tcW w:w="15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 процесса</w:t>
            </w:r>
          </w:p>
        </w:tc>
        <w:tc>
          <w:tcPr>
            <w:tcW w:w="8023" w:type="dxa"/>
          </w:tcPr>
          <w:tcPr/>
          <w:tcPr>
            <w:tcW w:w="8023" w:type="dxa"/>
          </w:tcPr>
          <w:p>
            <w:pPr>
              <w:pStyle w:val="Compact"/>
            </w:pPr>
            <w:r>
              <w:t xml:space="preserve">BP-06</w:t>
            </w:r>
          </w:p>
        </w:tc>
      </w:tr>
      <w:tr>
        <w:tc>
          <w:tcPr>
            <w:tcW w:w="1576" w:type="dxa"/>
          </w:tcPr>
          <w:tcPr/>
          <w:tcPr>
            <w:tcW w:w="15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8023" w:type="dxa"/>
          </w:tcPr>
          <w:tcPr/>
          <w:tcPr>
            <w:tcW w:w="8023" w:type="dxa"/>
          </w:tcPr>
          <w:p>
            <w:pPr>
              <w:pStyle w:val="Compact"/>
            </w:pPr>
            <w:r>
              <w:t xml:space="preserve">Клиентская поддержка и маршрутизация</w:t>
            </w:r>
          </w:p>
        </w:tc>
      </w:tr>
      <w:tr>
        <w:tc>
          <w:tcPr>
            <w:tcW w:w="1576" w:type="dxa"/>
          </w:tcPr>
          <w:tcPr/>
          <w:tcPr>
            <w:tcW w:w="15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>
            <w:tcW w:w="8023" w:type="dxa"/>
          </w:tcPr>
          <w:tcPr/>
          <w:tcPr>
            <w:tcW w:w="8023" w:type="dxa"/>
          </w:tcPr>
          <w:p>
            <w:pPr>
              <w:pStyle w:val="Compact"/>
            </w:pPr>
            <w:r>
              <w:t xml:space="preserve">Акопова А.В. (Управление клиентского сервиса)</w:t>
            </w:r>
          </w:p>
        </w:tc>
      </w:tr>
      <w:tr>
        <w:tc>
          <w:tcPr>
            <w:tcW w:w="1576" w:type="dxa"/>
          </w:tcPr>
          <w:tcPr/>
          <w:tcPr>
            <w:tcW w:w="15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>
            <w:tcW w:w="8023" w:type="dxa"/>
          </w:tcPr>
          <w:tcPr/>
          <w:tcPr>
            <w:tcW w:w="8023" w:type="dxa"/>
          </w:tcPr>
          <w:p>
            <w:pPr>
              <w:pStyle w:val="Compact"/>
            </w:pPr>
            <w:r>
              <w:t xml:space="preserve">ВЫСОКИЙ</w:t>
            </w:r>
          </w:p>
        </w:tc>
      </w:tr>
      <w:tr>
        <w:tc>
          <w:tcPr>
            <w:tcW w:w="1576" w:type="dxa"/>
          </w:tcPr>
          <w:tcPr/>
          <w:tcPr>
            <w:tcW w:w="15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Влияние</w:t>
            </w:r>
          </w:p>
        </w:tc>
        <w:tc>
          <w:tcPr>
            <w:tcW w:w="8023" w:type="dxa"/>
          </w:tcPr>
          <w:tcPr/>
          <w:tcPr>
            <w:tcW w:w="8023" w:type="dxa"/>
          </w:tcPr>
          <w:p>
            <w:pPr>
              <w:pStyle w:val="Compact"/>
            </w:pPr>
            <w:r>
              <w:t xml:space="preserve">Удержание клиентов, первое впечатление, снижение убытков</w:t>
            </w:r>
          </w:p>
        </w:tc>
      </w:tr>
      <w:tr>
        <w:tc>
          <w:tcPr>
            <w:tcW w:w="1576" w:type="dxa"/>
          </w:tcPr>
          <w:tcPr/>
          <w:tcPr>
            <w:tcW w:w="15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>
            <w:tcW w:w="8023" w:type="dxa"/>
          </w:tcPr>
          <w:tcPr/>
          <w:tcPr>
            <w:tcW w:w="8023" w:type="dxa"/>
          </w:tcPr>
          <w:p>
            <w:pPr>
              <w:pStyle w:val="Compact"/>
            </w:pPr>
            <w:r>
              <w:t xml:space="preserve">Непрерывно (24/7)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структура-управления"/>
    <w:p>
      <w:pPr>
        <w:pStyle w:val="Heading2"/>
      </w:pPr>
      <w:r>
        <w:t xml:space="preserve">2. Структура управления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4207"/>
        <w:gridCol w:w="1294"/>
        <w:gridCol w:w="1617"/>
        <w:gridCol w:w="2480"/>
      </w:tblGrid>
      <w:tr>
        <w:trPr>
          <w:tblHeader w:val="on"/>
        </w:trPr>
        <w:tc>
          <w:tcPr>
            <w:tcW w:w="420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20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Подразделение</w:t>
            </w:r>
          </w:p>
        </w:tc>
        <w:tc>
          <w:tcPr>
            <w:tcW w:w="129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29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Руководитель</w:t>
            </w:r>
          </w:p>
        </w:tc>
        <w:tc>
          <w:tcPr>
            <w:tcW w:w="161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61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Штат</w:t>
            </w:r>
          </w:p>
        </w:tc>
        <w:tc>
          <w:tcPr>
            <w:tcW w:w="248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48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Режим работы</w:t>
            </w:r>
          </w:p>
        </w:tc>
      </w:tr>
      <w:tr>
        <w:tc>
          <w:tcPr>
            <w:tcW w:w="4207" w:type="dxa"/>
          </w:tcPr>
          <w:tcPr/>
          <w:tcPr>
            <w:tcW w:w="42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Отдел клиентской поддержки</w:t>
            </w:r>
          </w:p>
        </w:tc>
        <w:tc>
          <w:tcPr>
            <w:tcW w:w="1294" w:type="dxa"/>
          </w:tcPr>
          <w:tcPr/>
          <w:tcPr>
            <w:tcW w:w="1294" w:type="dxa"/>
          </w:tcPr>
          <w:p>
            <w:pPr>
              <w:pStyle w:val="Compact"/>
            </w:pPr>
            <w:r>
              <w:t xml:space="preserve">Фролова А.Г.</w:t>
            </w:r>
          </w:p>
        </w:tc>
        <w:tc>
          <w:tcPr>
            <w:tcW w:w="1617" w:type="dxa"/>
          </w:tcPr>
          <w:tcPr/>
          <w:tcPr>
            <w:tcW w:w="1617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2480" w:type="dxa"/>
          </w:tcPr>
          <w:tcPr/>
          <w:tcPr>
            <w:tcW w:w="2480" w:type="dxa"/>
          </w:tcPr>
          <w:p>
            <w:pPr>
              <w:pStyle w:val="Compact"/>
            </w:pPr>
            <w:r>
              <w:t xml:space="preserve">Рабочие дни 09:00-18:00</w:t>
            </w:r>
          </w:p>
        </w:tc>
      </w:tr>
      <w:tr>
        <w:tc>
          <w:tcPr>
            <w:tcW w:w="4207" w:type="dxa"/>
          </w:tcPr>
          <w:tcPr/>
          <w:tcPr>
            <w:tcW w:w="42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Отдел круглосуточной работы с клиентами</w:t>
            </w:r>
          </w:p>
        </w:tc>
        <w:tc>
          <w:tcPr>
            <w:tcW w:w="1294" w:type="dxa"/>
          </w:tcPr>
          <w:tcPr/>
          <w:tcPr>
            <w:tcW w:w="1294" w:type="dxa"/>
          </w:tcPr>
          <w:p>
            <w:pPr>
              <w:pStyle w:val="Compact"/>
            </w:pPr>
            <w:r>
              <w:t xml:space="preserve">Акопова А.В.</w:t>
            </w:r>
          </w:p>
        </w:tc>
        <w:tc>
          <w:tcPr>
            <w:tcW w:w="1617" w:type="dxa"/>
          </w:tcPr>
          <w:tcPr/>
          <w:tcPr>
            <w:tcW w:w="1617" w:type="dxa"/>
          </w:tcPr>
          <w:p>
            <w:pPr>
              <w:pStyle w:val="Compact"/>
            </w:pPr>
            <w:r>
              <w:t xml:space="preserve">4 (в смену 1-2)</w:t>
            </w:r>
          </w:p>
        </w:tc>
        <w:tc>
          <w:tcPr>
            <w:tcW w:w="2480" w:type="dxa"/>
          </w:tcPr>
          <w:tcPr/>
          <w:tcPr>
            <w:tcW w:w="2480" w:type="dxa"/>
          </w:tcPr>
          <w:p>
            <w:pPr>
              <w:pStyle w:val="Compact"/>
            </w:pPr>
            <w:r>
              <w:t xml:space="preserve">24/7/365</w:t>
            </w:r>
          </w:p>
        </w:tc>
      </w:tr>
      <w:tr>
        <w:tc>
          <w:tcPr>
            <w:tcW w:w="4207" w:type="dxa"/>
          </w:tcPr>
          <w:tcPr/>
          <w:tcPr>
            <w:tcW w:w="42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294" w:type="dxa"/>
          </w:tcPr>
          <w:tcPr/>
          <w:tcPr>
            <w:tcW w:w="1294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1617" w:type="dxa"/>
          </w:tcPr>
          <w:tcPr/>
          <w:tcPr>
            <w:tcW w:w="16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w="2480" w:type="dxa"/>
          </w:tcPr>
          <w:tcPr/>
          <w:tcPr>
            <w:tcW w:w="2480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ключевые-цели-процесса"/>
    <w:p>
      <w:pPr>
        <w:pStyle w:val="Heading2"/>
      </w:pPr>
      <w:r>
        <w:t xml:space="preserve">3. Ключевые цели процесса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Клиентоориентированный сервис</w:t>
      </w:r>
      <w:r>
        <w:t xml:space="preserve"> </w:t>
      </w:r>
      <w:r>
        <w:t xml:space="preserve">— высокое качество обслуживания (консультации, поддержка)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Оперативность</w:t>
      </w:r>
      <w:r>
        <w:t xml:space="preserve"> </w:t>
      </w:r>
      <w:r>
        <w:t xml:space="preserve">— минимальное время отклика и решения обращений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Лояльность клиентов</w:t>
      </w:r>
      <w:r>
        <w:t xml:space="preserve"> </w:t>
      </w:r>
      <w:r>
        <w:t xml:space="preserve">— сохранение долгосрочного сотрудничества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Минимизация убытков</w:t>
      </w:r>
      <w:r>
        <w:t xml:space="preserve"> </w:t>
      </w:r>
      <w:r>
        <w:t xml:space="preserve">— быстрое решение проблем в поездке</w:t>
      </w:r>
    </w:p>
    <w:p>
      <w:r>
        <w:pict>
          <v:rect style="width:0;height:1.5pt" o:hralign="center" o:hrstd="t" o:hr="t"/>
        </w:pict>
      </w:r>
    </w:p>
    <w:bookmarkEnd w:id="11"/>
    <w:bookmarkStart w:id="21" w:name="основные-подпроцессы"/>
    <w:p>
      <w:pPr>
        <w:pStyle w:val="Heading2"/>
      </w:pPr>
      <w:r>
        <w:t xml:space="preserve">4. Основные подпроцессы</w:t>
      </w:r>
    </w:p>
    <w:bookmarkStart w:id="12" w:name="обработка-входящих-звонков"/>
    <w:p>
      <w:pPr>
        <w:pStyle w:val="Heading3"/>
      </w:pPr>
      <w:r>
        <w:t xml:space="preserve">4.1. Обработка входящих звонков</w:t>
      </w:r>
    </w:p>
    <w:p>
      <w:pPr>
        <w:pStyle w:val="FirstParagraph"/>
      </w:pPr>
      <w:r>
        <w:t xml:space="preserve">Процесс начинается с входящего звонка на телефонную линию компании. Сотрудник определяет причину звонка и принимает решение: либо решает вопрос самостоятельно (простые вопросы), либо маршрутизирует звонок в соответствующий отдел.</w:t>
      </w:r>
    </w:p>
    <w:p>
      <w:pPr>
        <w:pStyle w:val="BodyText"/>
      </w:pPr>
      <w:r>
        <w:t xml:space="preserve">Маршрутизация включает 28 потенциальных направлений: отдел продаж, ВИП отдел, транспортный отдел, групповое бронирование, 8 региональных офисов, въездной туризм, бронирование.</w:t>
      </w:r>
    </w:p>
    <w:p>
      <w:pPr>
        <w:pStyle w:val="BodyText"/>
      </w:pPr>
      <w:r>
        <w:rPr>
          <w:b/>
          <w:bCs/>
        </w:rPr>
        <w:t xml:space="preserve">SLA:</w:t>
      </w:r>
      <w:r>
        <w:t xml:space="preserve"> </w:t>
      </w:r>
      <w:r>
        <w:t xml:space="preserve">Приём звонка ≤30 секунд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Ошибки в определении городов (Вологда/Волгоград, Дзержинск/Дзержинский)</w:t>
      </w:r>
      <w:r>
        <w:t xml:space="preserve"> </w:t>
      </w:r>
      <w:r>
        <w:t xml:space="preserve">- До Отдела продаж затруднительно дозвониться</w:t>
      </w:r>
      <w:r>
        <w:t xml:space="preserve"> </w:t>
      </w:r>
      <w:r>
        <w:t xml:space="preserve">- Пропуск других вызовов при ожидании соединения</w:t>
      </w:r>
    </w:p>
    <w:p>
      <w:r>
        <w:pict>
          <v:rect style="width:0;height:1.5pt" o:hralign="center" o:hrstd="t" o:hr="t"/>
        </w:pict>
      </w:r>
    </w:p>
    <w:bookmarkEnd w:id="12"/>
    <w:bookmarkStart w:id="13" w:name="обработка-обращений-по-e-mail-crm"/>
    <w:p>
      <w:pPr>
        <w:pStyle w:val="Heading3"/>
      </w:pPr>
      <w:r>
        <w:t xml:space="preserve">4.2. Обработка обращений по e-mail / CRM</w:t>
      </w:r>
    </w:p>
    <w:p>
      <w:pPr>
        <w:pStyle w:val="FirstParagraph"/>
      </w:pPr>
      <w:r>
        <w:t xml:space="preserve">Обращения поступают на email sales@spacetravel.ru или через форму на сайте. На первом этапе определяется причина обращения и производится категоризация: запрос на расчёт, информационный запрос или жалоба.</w:t>
      </w:r>
    </w:p>
    <w:p>
      <w:pPr>
        <w:pStyle w:val="BodyText"/>
      </w:pPr>
      <w:r>
        <w:t xml:space="preserve">Простые вопросы решаются самостоятельно по шаблонам. Сложные обращения передаются в один из 28 отделов: HR, IT, Реклама, Контент, Продукт, Тарификация, Чартер, Продажи, ВИП, Транспорт, Финансы, Бухгалтерия, КАМы, 8 региональных офисов.</w:t>
      </w:r>
    </w:p>
    <w:p>
      <w:pPr>
        <w:pStyle w:val="BodyText"/>
      </w:pPr>
      <w:r>
        <w:rPr>
          <w:b/>
          <w:bCs/>
        </w:rPr>
        <w:t xml:space="preserve">SLA:</w:t>
      </w:r>
      <w:r>
        <w:t xml:space="preserve"> </w:t>
      </w:r>
      <w:r>
        <w:t xml:space="preserve">Первый ответ ≤1 час</w:t>
      </w:r>
    </w:p>
    <w:p>
      <w:pPr>
        <w:pStyle w:val="BodyText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Не все почты подключены к Битрикс, что замедляет обработку в пиковые часы.</w:t>
      </w:r>
    </w:p>
    <w:p>
      <w:r>
        <w:pict>
          <v:rect style="width:0;height:1.5pt" o:hralign="center" o:hrstd="t" o:hr="t"/>
        </w:pict>
      </w:r>
    </w:p>
    <w:bookmarkEnd w:id="13"/>
    <w:bookmarkStart w:id="14" w:name="обработка-запросов-на-расчёт-сделки"/>
    <w:p>
      <w:pPr>
        <w:pStyle w:val="Heading3"/>
      </w:pPr>
      <w:r>
        <w:t xml:space="preserve">4.3. Обработка запросов на расчёт (сделки)</w:t>
      </w:r>
    </w:p>
    <w:p>
      <w:pPr>
        <w:pStyle w:val="FirstParagraph"/>
      </w:pPr>
      <w:r>
        <w:t xml:space="preserve">При поступлении запроса на расчёт тура определяется тип запроса и курирующий офис/отдел. Затем выбирается ответственный сотрудник, оформляется сделка в Битрикс и отправляется ответ клиенту о передаче запроса в работу.</w:t>
      </w:r>
    </w:p>
    <w:p>
      <w:pPr>
        <w:pStyle w:val="BodyText"/>
      </w:pPr>
      <w:r>
        <w:rPr>
          <w:b/>
          <w:bCs/>
        </w:rPr>
        <w:t xml:space="preserve">SLA:</w:t>
      </w:r>
      <w:r>
        <w:t xml:space="preserve"> </w:t>
      </w:r>
      <w:r>
        <w:t xml:space="preserve">Маршрутизация ≤15 минут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Не все агенты есть в САМО/Битрикс — приходится искать в интернете</w:t>
      </w:r>
      <w:r>
        <w:t xml:space="preserve"> </w:t>
      </w:r>
      <w:r>
        <w:t xml:space="preserve">- Отсутствия сотрудников ведутся в разных системах (Битрикс, Google Таблица, «Моя команда»)</w:t>
      </w:r>
      <w:r>
        <w:t xml:space="preserve"> </w:t>
      </w:r>
      <w:r>
        <w:t xml:space="preserve">- Устаревшие списки направлений</w:t>
      </w:r>
    </w:p>
    <w:p>
      <w:r>
        <w:pict>
          <v:rect style="width:0;height:1.5pt" o:hralign="center" o:hrstd="t" o:hr="t"/>
        </w:pict>
      </w:r>
    </w:p>
    <w:bookmarkEnd w:id="14"/>
    <w:bookmarkStart w:id="15" w:name="круглосуточная-поддержка-247"/>
    <w:p>
      <w:pPr>
        <w:pStyle w:val="Heading3"/>
      </w:pPr>
      <w:r>
        <w:t xml:space="preserve">4.4. Круглосуточная поддержка (24/7)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600"/>
        <w:gridCol w:w="8000"/>
      </w:tblGrid>
      <w:tr>
        <w:trPr>
          <w:tblHeader w:val="on"/>
        </w:trPr>
        <w:tc>
          <w:tcPr>
            <w:tcW w:w="16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6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80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80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Отдел круглосуточной работы с клиентами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Телефон, WhatsApp, САМО-тур, Битрикс24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Режим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24/7/365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Цель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Минимизация убытков компании, решение проблем в поездке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Основные сценарии: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723"/>
        <w:gridCol w:w="7876"/>
      </w:tblGrid>
      <w:tr>
        <w:trPr>
          <w:tblHeader w:val="on"/>
        </w:trPr>
        <w:tc>
          <w:tcPr>
            <w:tcW w:w="172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72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Сценарий</w:t>
            </w:r>
          </w:p>
        </w:tc>
        <w:tc>
          <w:tcPr>
            <w:tcW w:w="787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87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Процесс</w:t>
            </w:r>
          </w:p>
        </w:tc>
      </w:tr>
      <w:tr>
        <w:tc>
          <w:tcPr>
            <w:tcW w:w="1723" w:type="dxa"/>
          </w:tcPr>
          <w:tcPr/>
          <w:tcPr>
            <w:tcW w:w="17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Проблема с трансфером</w:t>
            </w:r>
          </w:p>
        </w:tc>
        <w:tc>
          <w:tcPr>
            <w:tcW w:w="7876" w:type="dxa"/>
          </w:tcPr>
          <w:tcPr/>
          <w:tcPr>
            <w:tcW w:w="7876" w:type="dxa"/>
          </w:tcPr>
          <w:p>
            <w:pPr>
              <w:pStyle w:val="Compact"/>
            </w:pPr>
            <w:r>
              <w:t xml:space="preserve">Связь с DMC → Поиск решения → Контроль встречи</w:t>
            </w:r>
          </w:p>
        </w:tc>
      </w:tr>
      <w:tr>
        <w:tc>
          <w:tcPr>
            <w:tcW w:w="1723" w:type="dxa"/>
          </w:tcPr>
          <w:tcPr/>
          <w:tcPr>
            <w:tcW w:w="17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Проблема с отелем</w:t>
            </w:r>
          </w:p>
        </w:tc>
        <w:tc>
          <w:tcPr>
            <w:tcW w:w="7876" w:type="dxa"/>
          </w:tcPr>
          <w:tcPr/>
          <w:tcPr>
            <w:tcW w:w="7876" w:type="dxa"/>
          </w:tcPr>
          <w:p>
            <w:pPr>
              <w:pStyle w:val="Compact"/>
            </w:pPr>
            <w:r>
              <w:t xml:space="preserve">Связь с отелем/DMC → Эскалация при необходимости</w:t>
            </w:r>
          </w:p>
        </w:tc>
      </w:tr>
      <w:tr>
        <w:tc>
          <w:tcPr>
            <w:tcW w:w="1723" w:type="dxa"/>
          </w:tcPr>
          <w:tcPr/>
          <w:tcPr>
            <w:tcW w:w="17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Запрос данных от DMC</w:t>
            </w:r>
          </w:p>
        </w:tc>
        <w:tc>
          <w:tcPr>
            <w:tcW w:w="7876" w:type="dxa"/>
          </w:tcPr>
          <w:tcPr/>
          <w:tcPr>
            <w:tcW w:w="7876" w:type="dxa"/>
          </w:tcPr>
          <w:p>
            <w:pPr>
              <w:pStyle w:val="Compact"/>
            </w:pPr>
            <w:r>
              <w:t xml:space="preserve">Поиск в САМО → Уточнение у агента → Передача DMC</w:t>
            </w:r>
          </w:p>
        </w:tc>
      </w:tr>
      <w:tr>
        <w:tc>
          <w:tcPr>
            <w:tcW w:w="1723" w:type="dxa"/>
          </w:tcPr>
          <w:tcPr/>
          <w:tcPr>
            <w:tcW w:w="17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Неявка туристов</w:t>
            </w:r>
          </w:p>
        </w:tc>
        <w:tc>
          <w:tcPr>
            <w:tcW w:w="7876" w:type="dxa"/>
          </w:tcPr>
          <w:tcPr/>
          <w:tcPr>
            <w:tcW w:w="7876" w:type="dxa"/>
          </w:tcPr>
          <w:p>
            <w:pPr>
              <w:pStyle w:val="Compact"/>
            </w:pPr>
            <w:r>
              <w:t xml:space="preserve">Фиксация в САМО → Уведомление менеджера по заявке</w:t>
            </w:r>
          </w:p>
        </w:tc>
      </w:tr>
      <w:tr>
        <w:tc>
          <w:tcPr>
            <w:tcW w:w="1723" w:type="dxa"/>
          </w:tcPr>
          <w:tcPr/>
          <w:tcPr>
            <w:tcW w:w="17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MICE-обращение</w:t>
            </w:r>
          </w:p>
        </w:tc>
        <w:tc>
          <w:tcPr>
            <w:tcW w:w="7876" w:type="dxa"/>
          </w:tcPr>
          <w:tcPr/>
          <w:tcPr>
            <w:tcW w:w="7876" w:type="dxa"/>
          </w:tcPr>
          <w:p>
            <w:pPr>
              <w:pStyle w:val="Compact"/>
            </w:pPr>
            <w:r>
              <w:t xml:space="preserve">Идентификация по тегу → Приоритетная обработка → Передача в Отдел группового бронирования (утро)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Алгоритм работы:</w:t>
      </w:r>
    </w:p>
    <w:p>
      <w:pPr>
        <w:pStyle w:val="Compact"/>
        <w:numPr>
          <w:ilvl w:val="0"/>
          <w:numId w:val="1002"/>
        </w:numPr>
      </w:pPr>
      <w:r>
        <w:t xml:space="preserve">Приём обращения, уведомление клиента</w:t>
      </w:r>
    </w:p>
    <w:p>
      <w:pPr>
        <w:pStyle w:val="Compact"/>
        <w:numPr>
          <w:ilvl w:val="0"/>
          <w:numId w:val="1002"/>
        </w:numPr>
      </w:pPr>
      <w:r>
        <w:t xml:space="preserve">Создание сделки в Битрикс «Контроль поездки» (номер заявки, тема, суть проблемы, контакты)</w:t>
      </w:r>
    </w:p>
    <w:p>
      <w:pPr>
        <w:pStyle w:val="Compact"/>
        <w:numPr>
          <w:ilvl w:val="0"/>
          <w:numId w:val="1002"/>
        </w:numPr>
      </w:pPr>
      <w:r>
        <w:t xml:space="preserve">Связь с партнёром (WhatsApp / телефон)</w:t>
      </w:r>
    </w:p>
    <w:p>
      <w:pPr>
        <w:pStyle w:val="Compact"/>
        <w:numPr>
          <w:ilvl w:val="0"/>
          <w:numId w:val="1002"/>
        </w:numPr>
      </w:pPr>
      <w:r>
        <w:t xml:space="preserve">Согласование решения (при необходимости подключение руководителей направлений, финансов)</w:t>
      </w:r>
    </w:p>
    <w:p>
      <w:pPr>
        <w:pStyle w:val="Compact"/>
        <w:numPr>
          <w:ilvl w:val="0"/>
          <w:numId w:val="1002"/>
        </w:numPr>
      </w:pPr>
      <w:r>
        <w:t xml:space="preserve">Информирование клиента о ходе решения</w:t>
      </w:r>
    </w:p>
    <w:p>
      <w:pPr>
        <w:pStyle w:val="Compact"/>
        <w:numPr>
          <w:ilvl w:val="0"/>
          <w:numId w:val="1002"/>
        </w:numPr>
      </w:pPr>
      <w:r>
        <w:t xml:space="preserve">Закрытие сделки / Передача следующей смене</w:t>
      </w:r>
    </w:p>
    <w:p>
      <w:r>
        <w:pict>
          <v:rect style="width:0;height:1.5pt" o:hralign="center" o:hrstd="t" o:hr="t"/>
        </w:pict>
      </w:r>
    </w:p>
    <w:bookmarkEnd w:id="15"/>
    <w:bookmarkStart w:id="19" w:name="специальные-процессы"/>
    <w:p>
      <w:pPr>
        <w:pStyle w:val="Heading3"/>
      </w:pPr>
      <w:r>
        <w:t xml:space="preserve">4.5. Специальные процессы</w:t>
      </w:r>
    </w:p>
    <w:bookmarkStart w:id="16" w:name="регистрация-нового-агента-6-этапов"/>
    <w:p>
      <w:pPr>
        <w:pStyle w:val="Heading4"/>
      </w:pPr>
      <w:r>
        <w:t xml:space="preserve">Регистрация нового агента (6 этапов)</w:t>
      </w:r>
    </w:p>
    <w:p>
      <w:pPr>
        <w:pStyle w:val="Compact"/>
        <w:numPr>
          <w:ilvl w:val="0"/>
          <w:numId w:val="1003"/>
        </w:numPr>
      </w:pPr>
      <w:r>
        <w:t xml:space="preserve">Получение отбивки от САМО на sales@ о новой регистрации</w:t>
      </w:r>
    </w:p>
    <w:p>
      <w:pPr>
        <w:pStyle w:val="Compact"/>
        <w:numPr>
          <w:ilvl w:val="0"/>
          <w:numId w:val="1003"/>
        </w:numPr>
      </w:pPr>
      <w:r>
        <w:t xml:space="preserve">Определение региона агентства (если регион — передача КАМу и завершение)</w:t>
      </w:r>
    </w:p>
    <w:p>
      <w:pPr>
        <w:pStyle w:val="Compact"/>
        <w:numPr>
          <w:ilvl w:val="0"/>
          <w:numId w:val="1003"/>
        </w:numPr>
      </w:pPr>
      <w:r>
        <w:t xml:space="preserve">Приведение карточки САМО к единому виду</w:t>
      </w:r>
    </w:p>
    <w:p>
      <w:pPr>
        <w:pStyle w:val="Compact"/>
        <w:numPr>
          <w:ilvl w:val="0"/>
          <w:numId w:val="1003"/>
        </w:numPr>
      </w:pPr>
      <w:r>
        <w:t xml:space="preserve">Отправка пароля</w:t>
      </w:r>
    </w:p>
    <w:p>
      <w:pPr>
        <w:pStyle w:val="Compact"/>
        <w:numPr>
          <w:ilvl w:val="0"/>
          <w:numId w:val="1003"/>
        </w:numPr>
      </w:pPr>
      <w:r>
        <w:t xml:space="preserve">Отправка приветственного письма</w:t>
      </w:r>
    </w:p>
    <w:p>
      <w:pPr>
        <w:pStyle w:val="Compact"/>
        <w:numPr>
          <w:ilvl w:val="0"/>
          <w:numId w:val="1003"/>
        </w:numPr>
      </w:pPr>
      <w:r>
        <w:t xml:space="preserve">Заполнение реестра договоров и карточки в Битрикс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Ручной перенос данных между САМО и Битрикс.</w:t>
      </w:r>
    </w:p>
    <w:bookmarkEnd w:id="16"/>
    <w:bookmarkStart w:id="17" w:name="обработка-гарантийных-писем-гп"/>
    <w:p>
      <w:pPr>
        <w:pStyle w:val="Heading4"/>
      </w:pPr>
      <w:r>
        <w:t xml:space="preserve">Обработка гарантийных писем (ГП)</w:t>
      </w:r>
    </w:p>
    <w:p>
      <w:pPr>
        <w:pStyle w:val="Compact"/>
        <w:numPr>
          <w:ilvl w:val="0"/>
          <w:numId w:val="1004"/>
        </w:numPr>
      </w:pPr>
      <w:r>
        <w:t xml:space="preserve">Проверка типовой формы заявления</w:t>
      </w:r>
    </w:p>
    <w:p>
      <w:pPr>
        <w:pStyle w:val="Compact"/>
        <w:numPr>
          <w:ilvl w:val="0"/>
          <w:numId w:val="1004"/>
        </w:numPr>
      </w:pPr>
      <w:r>
        <w:t xml:space="preserve">Проверка заявки-гаранта</w:t>
      </w:r>
    </w:p>
    <w:p>
      <w:pPr>
        <w:pStyle w:val="Compact"/>
        <w:numPr>
          <w:ilvl w:val="0"/>
          <w:numId w:val="1004"/>
        </w:numPr>
      </w:pPr>
      <w:r>
        <w:t xml:space="preserve">Подтверждение / Отказ + подключение КАМа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КАМы иногда согласовывают ГП напрямую → двойная работа.</w:t>
      </w:r>
    </w:p>
    <w:bookmarkEnd w:id="17"/>
    <w:bookmarkStart w:id="18" w:name="обработка-заявлений-на-перенос-и-возврат"/>
    <w:p>
      <w:pPr>
        <w:pStyle w:val="Heading4"/>
      </w:pPr>
      <w:r>
        <w:t xml:space="preserve">Обработка заявлений на перенос и возврат</w:t>
      </w:r>
    </w:p>
    <w:p>
      <w:pPr>
        <w:pStyle w:val="Compact"/>
        <w:numPr>
          <w:ilvl w:val="0"/>
          <w:numId w:val="1005"/>
        </w:numPr>
      </w:pPr>
      <w:r>
        <w:t xml:space="preserve">Проверка данных в САМО-туре</w:t>
      </w:r>
    </w:p>
    <w:p>
      <w:pPr>
        <w:pStyle w:val="Compact"/>
        <w:numPr>
          <w:ilvl w:val="0"/>
          <w:numId w:val="1005"/>
        </w:numPr>
      </w:pPr>
      <w:r>
        <w:t xml:space="preserve">Проверка в инвойс-трекере</w:t>
      </w:r>
    </w:p>
    <w:p>
      <w:pPr>
        <w:pStyle w:val="Compact"/>
        <w:numPr>
          <w:ilvl w:val="0"/>
          <w:numId w:val="1005"/>
        </w:numPr>
      </w:pPr>
      <w:r>
        <w:t xml:space="preserve">Внесение в инвойс-трекер (СЗ или СБ)</w:t>
      </w:r>
    </w:p>
    <w:p>
      <w:pPr>
        <w:pStyle w:val="Compact"/>
        <w:numPr>
          <w:ilvl w:val="0"/>
          <w:numId w:val="1005"/>
        </w:numPr>
      </w:pPr>
      <w:r>
        <w:t xml:space="preserve">Передача в бухгалтерию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c5e7e05edba6c66d0e88aba58bfdf2d54ee860f"/>
    <w:p>
      <w:pPr>
        <w:pStyle w:val="Heading3"/>
      </w:pPr>
      <w:r>
        <w:t xml:space="preserve">4.6. Поддержка MICE-клиентов (корпоративный сегмент)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266"/>
        <w:gridCol w:w="7333"/>
      </w:tblGrid>
      <w:tr>
        <w:trPr>
          <w:tblHeader w:val="on"/>
        </w:trPr>
        <w:tc>
          <w:tcPr>
            <w:tcW w:w="226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26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33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33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333" w:type="dxa"/>
          </w:tcPr>
          <w:tcPr/>
          <w:tcPr>
            <w:tcW w:w="7333" w:type="dxa"/>
          </w:tcPr>
          <w:p>
            <w:pPr>
              <w:pStyle w:val="Compact"/>
            </w:pPr>
            <w:r>
              <w:t xml:space="preserve">Отдел круглосуточной работы с клиентами</w:t>
            </w:r>
          </w:p>
        </w:tc>
      </w:tr>
      <w:tr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Связанный процесс</w:t>
            </w:r>
          </w:p>
        </w:tc>
        <w:tc>
          <w:tcPr>
            <w:tcW w:w="7333" w:type="dxa"/>
          </w:tcPr>
          <w:tcPr/>
          <w:tcPr>
            <w:tcW w:w="7333" w:type="dxa"/>
          </w:tcPr>
          <w:p>
            <w:pPr>
              <w:pStyle w:val="Compact"/>
            </w:pPr>
            <w:r>
              <w:t xml:space="preserve">BP-03 (MICE и корпоративное обслуживание)</w:t>
            </w:r>
          </w:p>
        </w:tc>
      </w:tr>
      <w:tr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Режим</w:t>
            </w:r>
          </w:p>
        </w:tc>
        <w:tc>
          <w:tcPr>
            <w:tcW w:w="7333" w:type="dxa"/>
          </w:tcPr>
          <w:tcPr/>
          <w:tcPr>
            <w:tcW w:w="7333" w:type="dxa"/>
          </w:tcPr>
          <w:p>
            <w:pPr>
              <w:pStyle w:val="Compact"/>
            </w:pPr>
            <w:r>
              <w:t xml:space="preserve">24/7 (в нерабочее время Отдела группового бронирования)</w:t>
            </w:r>
          </w:p>
        </w:tc>
      </w:tr>
      <w:tr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>
            <w:tcW w:w="7333" w:type="dxa"/>
          </w:tcPr>
          <w:tcPr/>
          <w:tcPr>
            <w:tcW w:w="7333" w:type="dxa"/>
          </w:tcPr>
          <w:p>
            <w:pPr>
              <w:pStyle w:val="Compact"/>
            </w:pPr>
            <w:r>
              <w:t xml:space="preserve">КРИТИЧНО для удержания корпоративных клиентов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это критично:</w:t>
      </w:r>
      <w:r>
        <w:t xml:space="preserve"> </w:t>
      </w:r>
      <w:r>
        <w:t xml:space="preserve">- Корпоративные клиенты (B2B) составляют</w:t>
      </w:r>
      <w:r>
        <w:t xml:space="preserve"> </w:t>
      </w:r>
      <w:r>
        <w:rPr>
          <w:b/>
          <w:bCs/>
        </w:rPr>
        <w:t xml:space="preserve">~10% выручки</w:t>
      </w:r>
      <w:r>
        <w:t xml:space="preserve"> </w:t>
      </w:r>
      <w:r>
        <w:t xml:space="preserve">и имеют</w:t>
      </w:r>
      <w:r>
        <w:t xml:space="preserve"> </w:t>
      </w:r>
      <w:r>
        <w:rPr>
          <w:b/>
          <w:bCs/>
        </w:rPr>
        <w:t xml:space="preserve">высокие ожидания по уровню сервиса</w:t>
      </w:r>
      <w:r>
        <w:t xml:space="preserve"> </w:t>
      </w:r>
      <w:r>
        <w:t xml:space="preserve">- MICE-мероприятия часто проходят</w:t>
      </w:r>
      <w:r>
        <w:t xml:space="preserve"> </w:t>
      </w:r>
      <w:r>
        <w:rPr>
          <w:b/>
          <w:bCs/>
        </w:rPr>
        <w:t xml:space="preserve">в нестандартное время</w:t>
      </w:r>
      <w:r>
        <w:t xml:space="preserve"> </w:t>
      </w:r>
      <w:r>
        <w:t xml:space="preserve">- Потеря доверия корпоративного клиента =</w:t>
      </w:r>
      <w:r>
        <w:t xml:space="preserve"> </w:t>
      </w:r>
      <w:r>
        <w:rPr>
          <w:b/>
          <w:bCs/>
        </w:rPr>
        <w:t xml:space="preserve">потеря долгосрочного контракта</w:t>
      </w:r>
      <w:r>
        <w:t xml:space="preserve"> </w:t>
      </w:r>
      <w:r>
        <w:t xml:space="preserve">(средний чек в 5-10 раз выше B2C)</w:t>
      </w:r>
    </w:p>
    <w:p>
      <w:pPr>
        <w:pStyle w:val="BodyText"/>
      </w:pPr>
      <w:r>
        <w:rPr>
          <w:b/>
          <w:bCs/>
        </w:rPr>
        <w:t xml:space="preserve">Алгоритм обработки MICE-обращений:</w:t>
      </w:r>
    </w:p>
    <w:p>
      <w:pPr>
        <w:pStyle w:val="Compact"/>
        <w:numPr>
          <w:ilvl w:val="0"/>
          <w:numId w:val="1006"/>
        </w:numPr>
      </w:pPr>
      <w:r>
        <w:t xml:space="preserve">Идентификация MICE-клиента (проверка тега в Битрикс, тип заявки в САМО)</w:t>
      </w:r>
    </w:p>
    <w:p>
      <w:pPr>
        <w:pStyle w:val="Compact"/>
        <w:numPr>
          <w:ilvl w:val="0"/>
          <w:numId w:val="1006"/>
        </w:numPr>
      </w:pPr>
      <w:r>
        <w:t xml:space="preserve">Создание сделки «MICE-поддержка 24/7» в Битрикс</w:t>
      </w:r>
    </w:p>
    <w:p>
      <w:pPr>
        <w:pStyle w:val="Compact"/>
        <w:numPr>
          <w:ilvl w:val="0"/>
          <w:numId w:val="1006"/>
        </w:numPr>
      </w:pPr>
      <w:r>
        <w:t xml:space="preserve">Приоритетная обработка (SLA: ответ ≤15 мин, решение ≤2 часа)</w:t>
      </w:r>
    </w:p>
    <w:p>
      <w:pPr>
        <w:pStyle w:val="Compact"/>
        <w:numPr>
          <w:ilvl w:val="0"/>
          <w:numId w:val="1006"/>
        </w:numPr>
      </w:pPr>
      <w:r>
        <w:t xml:space="preserve">Передача в Отдел группового бронирования (утром следующего рабочего дня)</w:t>
      </w:r>
    </w:p>
    <w:p>
      <w:pPr>
        <w:pStyle w:val="FirstParagraph"/>
      </w:pPr>
      <w:r>
        <w:rPr>
          <w:b/>
          <w:bCs/>
        </w:rPr>
        <w:t xml:space="preserve">Типичные сценарии MICE: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585"/>
        <w:gridCol w:w="6014"/>
      </w:tblGrid>
      <w:tr>
        <w:trPr>
          <w:tblHeader w:val="on"/>
        </w:trPr>
        <w:tc>
          <w:tcPr>
            <w:tcW w:w="358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58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Сценарий</w:t>
            </w:r>
          </w:p>
        </w:tc>
        <w:tc>
          <w:tcPr>
            <w:tcW w:w="601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01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>
            <w:tcW w:w="3585" w:type="dxa"/>
          </w:tcPr>
          <w:tcPr/>
          <w:tcPr>
            <w:tcW w:w="3585" w:type="dxa"/>
          </w:tcPr>
          <w:p>
            <w:pPr>
              <w:pStyle w:val="Compact"/>
            </w:pPr>
            <w:r>
              <w:t xml:space="preserve">Проблемы с групповым трансфером</w:t>
            </w:r>
          </w:p>
        </w:tc>
        <w:tc>
          <w:tcPr>
            <w:tcW w:w="6014" w:type="dxa"/>
          </w:tcPr>
          <w:tcPr/>
          <w:tcPr>
            <w:tcW w:w="6014" w:type="dxa"/>
          </w:tcPr>
          <w:p>
            <w:pPr>
              <w:pStyle w:val="Compact"/>
            </w:pPr>
            <w:r>
              <w:t xml:space="preserve">Связь с DMC → Организация замены → Контроль прибытия</w:t>
            </w:r>
          </w:p>
        </w:tc>
      </w:tr>
      <w:tr>
        <w:tc>
          <w:tcPr>
            <w:tcW w:w="3585" w:type="dxa"/>
          </w:tcPr>
          <w:tcPr/>
          <w:tcPr>
            <w:tcW w:w="3585" w:type="dxa"/>
          </w:tcPr>
          <w:p>
            <w:pPr>
              <w:pStyle w:val="Compact"/>
            </w:pPr>
            <w:r>
              <w:t xml:space="preserve">Изменение программы мероприятия</w:t>
            </w:r>
          </w:p>
        </w:tc>
        <w:tc>
          <w:tcPr>
            <w:tcW w:w="6014" w:type="dxa"/>
          </w:tcPr>
          <w:tcPr/>
          <w:tcPr>
            <w:tcW w:w="6014" w:type="dxa"/>
          </w:tcPr>
          <w:p>
            <w:pPr>
              <w:pStyle w:val="Compact"/>
            </w:pPr>
            <w:r>
              <w:t xml:space="preserve">Согласование с партнёром → Информирование клиента</w:t>
            </w:r>
          </w:p>
        </w:tc>
      </w:tr>
      <w:tr>
        <w:tc>
          <w:tcPr>
            <w:tcW w:w="3585" w:type="dxa"/>
          </w:tcPr>
          <w:tcPr/>
          <w:tcPr>
            <w:tcW w:w="3585" w:type="dxa"/>
          </w:tcPr>
          <w:p>
            <w:pPr>
              <w:pStyle w:val="Compact"/>
            </w:pPr>
            <w:r>
              <w:t xml:space="preserve">Проблемы с конференц-залом</w:t>
            </w:r>
          </w:p>
        </w:tc>
        <w:tc>
          <w:tcPr>
            <w:tcW w:w="6014" w:type="dxa"/>
          </w:tcPr>
          <w:tcPr/>
          <w:tcPr>
            <w:tcW w:w="6014" w:type="dxa"/>
          </w:tcPr>
          <w:p>
            <w:pPr>
              <w:pStyle w:val="Compact"/>
            </w:pPr>
            <w:r>
              <w:t xml:space="preserve">Связь с отелем → Поиск альтернативы</w:t>
            </w:r>
          </w:p>
        </w:tc>
      </w:tr>
      <w:tr>
        <w:tc>
          <w:tcPr>
            <w:tcW w:w="3585" w:type="dxa"/>
          </w:tcPr>
          <w:tcPr/>
          <w:tcPr>
            <w:tcW w:w="3585" w:type="dxa"/>
          </w:tcPr>
          <w:p>
            <w:pPr>
              <w:pStyle w:val="Compact"/>
            </w:pPr>
            <w:r>
              <w:t xml:space="preserve">Медицинские ситуации участников</w:t>
            </w:r>
          </w:p>
        </w:tc>
        <w:tc>
          <w:tcPr>
            <w:tcW w:w="6014" w:type="dxa"/>
          </w:tcPr>
          <w:tcPr/>
          <w:tcPr>
            <w:tcW w:w="6014" w:type="dxa"/>
          </w:tcPr>
          <w:p>
            <w:pPr>
              <w:pStyle w:val="Compact"/>
            </w:pPr>
            <w:r>
              <w:t xml:space="preserve">Координация медпомощи → Информирование организатора</w:t>
            </w:r>
          </w:p>
        </w:tc>
      </w:tr>
      <w:tr>
        <w:tc>
          <w:tcPr>
            <w:tcW w:w="3585" w:type="dxa"/>
          </w:tcPr>
          <w:tcPr/>
          <w:tcPr>
            <w:tcW w:w="3585" w:type="dxa"/>
          </w:tcPr>
          <w:p>
            <w:pPr>
              <w:pStyle w:val="Compact"/>
            </w:pPr>
            <w:r>
              <w:t xml:space="preserve">Отмена рейса группы</w:t>
            </w:r>
          </w:p>
        </w:tc>
        <w:tc>
          <w:tcPr>
            <w:tcW w:w="6014" w:type="dxa"/>
          </w:tcPr>
          <w:tcPr/>
          <w:tcPr>
            <w:tcW w:w="6014" w:type="dxa"/>
          </w:tcPr>
          <w:p>
            <w:pPr>
              <w:pStyle w:val="Compact"/>
            </w:pPr>
            <w:r>
              <w:t xml:space="preserve">Поиск альтернативного рейса → Координация трансферов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SLA для MICE-клиентов: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400"/>
        <w:gridCol w:w="3200"/>
      </w:tblGrid>
      <w:tr>
        <w:trPr>
          <w:tblHeader w:val="on"/>
        </w:trPr>
        <w:tc>
          <w:tcPr>
            <w:tcW w:w="64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4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2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2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Целевое значение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t xml:space="preserve">Время первого ответа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≤15 минут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t xml:space="preserve">Время решения проблемы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≤2 часа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t xml:space="preserve">Информирование клиента о статусе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Каждые 30 минут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системы-и-интеграции"/>
    <w:p>
      <w:pPr>
        <w:pStyle w:val="Heading2"/>
      </w:pPr>
      <w:r>
        <w:t xml:space="preserve">5. Системы и интеграции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181"/>
        <w:gridCol w:w="4509"/>
        <w:gridCol w:w="2909"/>
      </w:tblGrid>
      <w:tr>
        <w:trPr>
          <w:tblHeader w:val="on"/>
        </w:trPr>
        <w:tc>
          <w:tcPr>
            <w:tcW w:w="218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8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450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50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90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90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Интеграция</w:t>
            </w:r>
          </w:p>
        </w:tc>
      </w:tr>
      <w:tr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UIS (телефония)</w:t>
            </w:r>
          </w:p>
        </w:tc>
        <w:tc>
          <w:tcPr>
            <w:tcW w:w="4509" w:type="dxa"/>
          </w:tcPr>
          <w:tcPr/>
          <w:tcPr>
            <w:tcW w:w="4509" w:type="dxa"/>
          </w:tcPr>
          <w:p>
            <w:pPr>
              <w:pStyle w:val="Compact"/>
            </w:pPr>
            <w:r>
              <w:t xml:space="preserve">Приём звонков</w:t>
            </w:r>
          </w:p>
        </w:tc>
        <w:tc>
          <w:tcPr>
            <w:tcW w:w="2909" w:type="dxa"/>
          </w:tcPr>
          <w:tcPr/>
          <w:tcPr>
            <w:tcW w:w="2909" w:type="dxa"/>
          </w:tcPr>
          <w:p>
            <w:pPr>
              <w:pStyle w:val="Compact"/>
            </w:pPr>
            <w:r>
              <w:t xml:space="preserve">→ Битрикс</w:t>
            </w:r>
          </w:p>
        </w:tc>
      </w:tr>
      <w:tr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>
            <w:tcW w:w="4509" w:type="dxa"/>
          </w:tcPr>
          <w:tcPr/>
          <w:tcPr>
            <w:tcW w:w="4509" w:type="dxa"/>
          </w:tcPr>
          <w:p>
            <w:pPr>
              <w:pStyle w:val="Compact"/>
            </w:pPr>
            <w:r>
              <w:t xml:space="preserve">CRM, сделки, чаты</w:t>
            </w:r>
          </w:p>
        </w:tc>
        <w:tc>
          <w:tcPr>
            <w:tcW w:w="2909" w:type="dxa"/>
          </w:tcPr>
          <w:tcPr/>
          <w:tcPr>
            <w:tcW w:w="2909" w:type="dxa"/>
          </w:tcPr>
          <w:p>
            <w:pPr>
              <w:pStyle w:val="Compact"/>
            </w:pPr>
            <w:r>
              <w:t xml:space="preserve">↔ САМО-тур</w:t>
            </w:r>
          </w:p>
        </w:tc>
      </w:tr>
      <w:tr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САМО-тур</w:t>
            </w:r>
          </w:p>
        </w:tc>
        <w:tc>
          <w:tcPr>
            <w:tcW w:w="4509" w:type="dxa"/>
          </w:tcPr>
          <w:tcPr/>
          <w:tcPr>
            <w:tcW w:w="4509" w:type="dxa"/>
          </w:tcPr>
          <w:p>
            <w:pPr>
              <w:pStyle w:val="Compact"/>
            </w:pPr>
            <w:r>
              <w:t xml:space="preserve">Данные по заявкам, агентам</w:t>
            </w:r>
          </w:p>
        </w:tc>
        <w:tc>
          <w:tcPr>
            <w:tcW w:w="2909" w:type="dxa"/>
          </w:tcPr>
          <w:tcPr/>
          <w:tcPr>
            <w:tcW w:w="2909" w:type="dxa"/>
          </w:tcPr>
          <w:p>
            <w:pPr>
              <w:pStyle w:val="Compact"/>
            </w:pPr>
            <w:r>
              <w:t xml:space="preserve">↔ Битрикс</w:t>
            </w:r>
          </w:p>
        </w:tc>
      </w:tr>
      <w:tr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Outlook</w:t>
            </w:r>
          </w:p>
        </w:tc>
        <w:tc>
          <w:tcPr>
            <w:tcW w:w="4509" w:type="dxa"/>
          </w:tcPr>
          <w:tcPr/>
          <w:tcPr>
            <w:tcW w:w="4509" w:type="dxa"/>
          </w:tcPr>
          <w:p>
            <w:pPr>
              <w:pStyle w:val="Compact"/>
            </w:pPr>
            <w:r>
              <w:t xml:space="preserve">Почта sales@</w:t>
            </w:r>
          </w:p>
        </w:tc>
        <w:tc>
          <w:tcPr>
            <w:tcW w:w="2909" w:type="dxa"/>
          </w:tcPr>
          <w:tcPr/>
          <w:tcPr>
            <w:tcW w:w="2909" w:type="dxa"/>
          </w:tcPr>
          <w:p>
            <w:pPr>
              <w:pStyle w:val="Compact"/>
            </w:pPr>
            <w:r>
              <w:t xml:space="preserve">→ Битрикс (частично)</w:t>
            </w:r>
          </w:p>
        </w:tc>
      </w:tr>
      <w:tr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>
            <w:tcW w:w="4509" w:type="dxa"/>
          </w:tcPr>
          <w:tcPr/>
          <w:tcPr>
            <w:tcW w:w="4509" w:type="dxa"/>
          </w:tcPr>
          <w:p>
            <w:pPr>
              <w:pStyle w:val="Compact"/>
            </w:pPr>
            <w:r>
              <w:t xml:space="preserve">Связь с DMC, клиентами</w:t>
            </w:r>
          </w:p>
        </w:tc>
        <w:tc>
          <w:tcPr>
            <w:tcW w:w="2909" w:type="dxa"/>
          </w:tcPr>
          <w:tcPr/>
          <w:tcPr>
            <w:tcW w:w="2909" w:type="dxa"/>
          </w:tcPr>
          <w:p>
            <w:pPr>
              <w:pStyle w:val="Compact"/>
            </w:pPr>
            <w:r>
              <w:t xml:space="preserve">Ручной режим</w:t>
            </w:r>
          </w:p>
        </w:tc>
      </w:tr>
      <w:tr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Google Таблицы</w:t>
            </w:r>
          </w:p>
        </w:tc>
        <w:tc>
          <w:tcPr>
            <w:tcW w:w="4509" w:type="dxa"/>
          </w:tcPr>
          <w:tcPr/>
          <w:tcPr>
            <w:tcW w:w="4509" w:type="dxa"/>
          </w:tcPr>
          <w:p>
            <w:pPr>
              <w:pStyle w:val="Compact"/>
            </w:pPr>
            <w:r>
              <w:t xml:space="preserve">Реестр договоров, график работы</w:t>
            </w:r>
          </w:p>
        </w:tc>
        <w:tc>
          <w:tcPr>
            <w:tcW w:w="2909" w:type="dxa"/>
          </w:tcPr>
          <w:tcPr/>
          <w:tcPr>
            <w:tcW w:w="2909" w:type="dxa"/>
          </w:tcPr>
          <w:p>
            <w:pPr>
              <w:pStyle w:val="Compact"/>
            </w:pPr>
            <w:r>
              <w:t xml:space="preserve">Ручной режим</w:t>
            </w:r>
          </w:p>
        </w:tc>
      </w:tr>
      <w:tr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Моя команда</w:t>
            </w:r>
          </w:p>
        </w:tc>
        <w:tc>
          <w:tcPr>
            <w:tcW w:w="4509" w:type="dxa"/>
          </w:tcPr>
          <w:tcPr/>
          <w:tcPr>
            <w:tcW w:w="4509" w:type="dxa"/>
          </w:tcPr>
          <w:p>
            <w:pPr>
              <w:pStyle w:val="Compact"/>
            </w:pPr>
            <w:r>
              <w:t xml:space="preserve">Учёт отсутствий</w:t>
            </w:r>
          </w:p>
        </w:tc>
        <w:tc>
          <w:tcPr>
            <w:tcW w:w="2909" w:type="dxa"/>
          </w:tcPr>
          <w:tcPr/>
          <w:tcPr>
            <w:tcW w:w="2909" w:type="dxa"/>
          </w:tcPr>
          <w:p>
            <w:pPr>
              <w:pStyle w:val="Compact"/>
            </w:pPr>
            <w:r>
              <w:t xml:space="preserve">Ручной режим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kpi-процесса"/>
    <w:p>
      <w:pPr>
        <w:pStyle w:val="Heading2"/>
      </w:pPr>
      <w:r>
        <w:t xml:space="preserve">6. KPI процесса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921"/>
        <w:gridCol w:w="2163"/>
        <w:gridCol w:w="1487"/>
        <w:gridCol w:w="2028"/>
      </w:tblGrid>
      <w:tr>
        <w:trPr>
          <w:tblHeader w:val="on"/>
        </w:trPr>
        <w:tc>
          <w:tcPr>
            <w:tcW w:w="392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92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16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6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>
            <w:tcW w:w="148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48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Текущее</w:t>
            </w:r>
          </w:p>
        </w:tc>
        <w:tc>
          <w:tcPr>
            <w:tcW w:w="202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02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Метод измерения</w:t>
            </w:r>
          </w:p>
        </w:tc>
      </w:tr>
      <w:tr>
        <w:tc>
          <w:tcPr>
            <w:tcW w:w="3921" w:type="dxa"/>
          </w:tcPr>
          <w:tcPr/>
          <w:tcPr>
            <w:tcW w:w="3921" w:type="dxa"/>
          </w:tcPr>
          <w:p>
            <w:pPr>
              <w:pStyle w:val="Compact"/>
            </w:pPr>
            <w:r>
              <w:t xml:space="preserve">Время приёма звонка</w:t>
            </w:r>
          </w:p>
        </w:tc>
        <w:tc>
          <w:tcPr>
            <w:tcW w:w="2163" w:type="dxa"/>
          </w:tcPr>
          <w:tcPr/>
          <w:tcPr>
            <w:tcW w:w="2163" w:type="dxa"/>
          </w:tcPr>
          <w:p>
            <w:pPr>
              <w:pStyle w:val="Compact"/>
            </w:pPr>
            <w:r>
              <w:t xml:space="preserve">≤30 сек</w:t>
            </w:r>
          </w:p>
        </w:tc>
        <w:tc>
          <w:tcPr>
            <w:tcW w:w="1487" w:type="dxa"/>
          </w:tcPr>
          <w:tcPr/>
          <w:tcPr>
            <w:tcW w:w="1487" w:type="dxa"/>
          </w:tcPr>
          <w:p>
            <w:pPr>
              <w:pStyle w:val="Compact"/>
            </w:pPr>
            <w:r>
              <w:t xml:space="preserve">~30 сек</w:t>
            </w:r>
          </w:p>
        </w:tc>
        <w:tc>
          <w:tcPr>
            <w:tcW w:w="2028" w:type="dxa"/>
          </w:tcPr>
          <w:tcPr/>
          <w:tcPr>
            <w:tcW w:w="2028" w:type="dxa"/>
          </w:tcPr>
          <w:p>
            <w:pPr>
              <w:pStyle w:val="Compact"/>
            </w:pPr>
            <w:r>
              <w:t xml:space="preserve">UIS</w:t>
            </w:r>
          </w:p>
        </w:tc>
      </w:tr>
      <w:tr>
        <w:tc>
          <w:tcPr>
            <w:tcW w:w="3921" w:type="dxa"/>
          </w:tcPr>
          <w:tcPr/>
          <w:tcPr>
            <w:tcW w:w="3921" w:type="dxa"/>
          </w:tcPr>
          <w:p>
            <w:pPr>
              <w:pStyle w:val="Compact"/>
            </w:pPr>
            <w:r>
              <w:t xml:space="preserve">Время первого ответа (email)</w:t>
            </w:r>
          </w:p>
        </w:tc>
        <w:tc>
          <w:tcPr>
            <w:tcW w:w="2163" w:type="dxa"/>
          </w:tcPr>
          <w:tcPr/>
          <w:tcPr>
            <w:tcW w:w="2163" w:type="dxa"/>
          </w:tcPr>
          <w:p>
            <w:pPr>
              <w:pStyle w:val="Compact"/>
            </w:pPr>
            <w:r>
              <w:t xml:space="preserve">≤1 час</w:t>
            </w:r>
          </w:p>
        </w:tc>
        <w:tc>
          <w:tcPr>
            <w:tcW w:w="1487" w:type="dxa"/>
          </w:tcPr>
          <w:tcPr/>
          <w:tcPr>
            <w:tcW w:w="1487" w:type="dxa"/>
          </w:tcPr>
          <w:p>
            <w:pPr>
              <w:pStyle w:val="Compact"/>
            </w:pPr>
            <w:r>
              <w:t xml:space="preserve">~1-2 часа</w:t>
            </w:r>
          </w:p>
        </w:tc>
        <w:tc>
          <w:tcPr>
            <w:tcW w:w="2028" w:type="dxa"/>
          </w:tcPr>
          <w:tcPr/>
          <w:tcPr>
            <w:tcW w:w="2028" w:type="dxa"/>
          </w:tcPr>
          <w:p>
            <w:pPr>
              <w:pStyle w:val="Compact"/>
            </w:pPr>
            <w:r>
              <w:t xml:space="preserve">Ручной замер</w:t>
            </w:r>
          </w:p>
        </w:tc>
      </w:tr>
      <w:tr>
        <w:tc>
          <w:tcPr>
            <w:tcW w:w="3921" w:type="dxa"/>
          </w:tcPr>
          <w:tcPr/>
          <w:tcPr>
            <w:tcW w:w="3921" w:type="dxa"/>
          </w:tcPr>
          <w:p>
            <w:pPr>
              <w:pStyle w:val="Compact"/>
            </w:pPr>
            <w:r>
              <w:t xml:space="preserve">Время маршрутизации</w:t>
            </w:r>
          </w:p>
        </w:tc>
        <w:tc>
          <w:tcPr>
            <w:tcW w:w="2163" w:type="dxa"/>
          </w:tcPr>
          <w:tcPr/>
          <w:tcPr>
            <w:tcW w:w="2163" w:type="dxa"/>
          </w:tcPr>
          <w:p>
            <w:pPr>
              <w:pStyle w:val="Compact"/>
            </w:pPr>
            <w:r>
              <w:t xml:space="preserve">≤5 мин</w:t>
            </w:r>
          </w:p>
        </w:tc>
        <w:tc>
          <w:tcPr>
            <w:tcW w:w="1487" w:type="dxa"/>
          </w:tcPr>
          <w:tcPr/>
          <w:tcPr>
            <w:tcW w:w="1487" w:type="dxa"/>
          </w:tcPr>
          <w:p>
            <w:pPr>
              <w:pStyle w:val="Compact"/>
            </w:pPr>
            <w:r>
              <w:t xml:space="preserve">~15 мин</w:t>
            </w:r>
          </w:p>
        </w:tc>
        <w:tc>
          <w:tcPr>
            <w:tcW w:w="2028" w:type="dxa"/>
          </w:tcPr>
          <w:tcPr/>
          <w:tcPr>
            <w:tcW w:w="2028" w:type="dxa"/>
          </w:tcPr>
          <w:p>
            <w:pPr>
              <w:pStyle w:val="Compact"/>
            </w:pPr>
            <w:r>
              <w:t xml:space="preserve">Ручной замер</w:t>
            </w:r>
          </w:p>
        </w:tc>
      </w:tr>
      <w:tr>
        <w:tc>
          <w:tcPr>
            <w:tcW w:w="3921" w:type="dxa"/>
          </w:tcPr>
          <w:tcPr/>
          <w:tcPr>
            <w:tcW w:w="3921" w:type="dxa"/>
          </w:tcPr>
          <w:p>
            <w:pPr>
              <w:pStyle w:val="Compact"/>
            </w:pPr>
            <w:r>
              <w:t xml:space="preserve">Пропущенные звонки</w:t>
            </w:r>
          </w:p>
        </w:tc>
        <w:tc>
          <w:tcPr>
            <w:tcW w:w="2163" w:type="dxa"/>
          </w:tcPr>
          <w:tcPr/>
          <w:tcPr>
            <w:tcW w:w="2163" w:type="dxa"/>
          </w:tcPr>
          <w:p>
            <w:pPr>
              <w:pStyle w:val="Compact"/>
            </w:pPr>
            <w:r>
              <w:t xml:space="preserve">≤5%</w:t>
            </w:r>
          </w:p>
        </w:tc>
        <w:tc>
          <w:tcPr>
            <w:tcW w:w="1487" w:type="dxa"/>
          </w:tcPr>
          <w:tcPr/>
          <w:tcPr>
            <w:tcW w:w="1487" w:type="dxa"/>
          </w:tcPr>
          <w:p>
            <w:pPr>
              <w:pStyle w:val="Compact"/>
            </w:pPr>
            <w:r>
              <w:t xml:space="preserve">~8-10%</w:t>
            </w:r>
          </w:p>
        </w:tc>
        <w:tc>
          <w:tcPr>
            <w:tcW w:w="2028" w:type="dxa"/>
          </w:tcPr>
          <w:tcPr/>
          <w:tcPr>
            <w:tcW w:w="2028" w:type="dxa"/>
          </w:tcPr>
          <w:p>
            <w:pPr>
              <w:pStyle w:val="Compact"/>
            </w:pPr>
            <w:r>
              <w:t xml:space="preserve">UIS</w:t>
            </w:r>
          </w:p>
        </w:tc>
      </w:tr>
      <w:tr>
        <w:tc>
          <w:tcPr>
            <w:tcW w:w="3921" w:type="dxa"/>
          </w:tcPr>
          <w:tcPr/>
          <w:tcPr>
            <w:tcW w:w="3921" w:type="dxa"/>
          </w:tcPr>
          <w:p>
            <w:pPr>
              <w:pStyle w:val="Compact"/>
            </w:pPr>
            <w:r>
              <w:t xml:space="preserve">Время решения проблемы (24/7)</w:t>
            </w:r>
          </w:p>
        </w:tc>
        <w:tc>
          <w:tcPr>
            <w:tcW w:w="2163" w:type="dxa"/>
          </w:tcPr>
          <w:tcPr/>
          <w:tcPr>
            <w:tcW w:w="2163" w:type="dxa"/>
          </w:tcPr>
          <w:p>
            <w:pPr>
              <w:pStyle w:val="Compact"/>
            </w:pPr>
            <w:r>
              <w:t xml:space="preserve">≤2 часа</w:t>
            </w:r>
          </w:p>
        </w:tc>
        <w:tc>
          <w:tcPr>
            <w:tcW w:w="1487" w:type="dxa"/>
          </w:tcPr>
          <w:tcPr/>
          <w:tcPr>
            <w:tcW w:w="1487" w:type="dxa"/>
          </w:tcPr>
          <w:p>
            <w:pPr>
              <w:pStyle w:val="Compact"/>
            </w:pPr>
            <w:r>
              <w:t xml:space="preserve">Варьируется</w:t>
            </w:r>
          </w:p>
        </w:tc>
        <w:tc>
          <w:tcPr>
            <w:tcW w:w="2028" w:type="dxa"/>
          </w:tcPr>
          <w:tcPr/>
          <w:tcPr>
            <w:tcW w:w="2028" w:type="dxa"/>
          </w:tcPr>
          <w:p>
            <w:pPr>
              <w:pStyle w:val="Compact"/>
            </w:pPr>
            <w:r>
              <w:t xml:space="preserve">Битрикс</w:t>
            </w:r>
          </w:p>
        </w:tc>
      </w:tr>
      <w:tr>
        <w:tc>
          <w:tcPr>
            <w:tcW w:w="3921" w:type="dxa"/>
          </w:tcPr>
          <w:tcPr/>
          <w:tcPr>
            <w:tcW w:w="3921" w:type="dxa"/>
          </w:tcPr>
          <w:p>
            <w:pPr>
              <w:pStyle w:val="Compact"/>
            </w:pPr>
            <w:r>
              <w:t xml:space="preserve">Ошибки маршрутизации</w:t>
            </w:r>
          </w:p>
        </w:tc>
        <w:tc>
          <w:tcPr>
            <w:tcW w:w="2163" w:type="dxa"/>
          </w:tcPr>
          <w:tcPr/>
          <w:tcPr>
            <w:tcW w:w="2163" w:type="dxa"/>
          </w:tcPr>
          <w:p>
            <w:pPr>
              <w:pStyle w:val="Compact"/>
            </w:pPr>
            <w:r>
              <w:t xml:space="preserve">≤2%</w:t>
            </w:r>
          </w:p>
        </w:tc>
        <w:tc>
          <w:tcPr>
            <w:tcW w:w="1487" w:type="dxa"/>
          </w:tcPr>
          <w:tcPr/>
          <w:tcPr>
            <w:tcW w:w="1487" w:type="dxa"/>
          </w:tcPr>
          <w:p>
            <w:pPr>
              <w:pStyle w:val="Compact"/>
            </w:pPr>
            <w:r>
              <w:t xml:space="preserve">~5%</w:t>
            </w:r>
          </w:p>
        </w:tc>
        <w:tc>
          <w:tcPr>
            <w:tcW w:w="2028" w:type="dxa"/>
          </w:tcPr>
          <w:tcPr/>
          <w:tcPr>
            <w:tcW w:w="2028" w:type="dxa"/>
          </w:tcPr>
          <w:p>
            <w:pPr>
              <w:pStyle w:val="Compact"/>
            </w:pPr>
            <w:r>
              <w:t xml:space="preserve">Обратная связь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риски-и-проблемы"/>
    <w:p>
      <w:pPr>
        <w:pStyle w:val="Heading2"/>
      </w:pPr>
      <w:r>
        <w:t xml:space="preserve">7. Риски и проблемы</w:t>
      </w:r>
    </w:p>
    <w:bookmarkStart w:id="24" w:name="критические"/>
    <w:p>
      <w:pPr>
        <w:pStyle w:val="Heading3"/>
      </w:pPr>
      <w:r>
        <w:t xml:space="preserve">Критические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4114"/>
        <w:gridCol w:w="3657"/>
        <w:gridCol w:w="1828"/>
      </w:tblGrid>
      <w:tr>
        <w:trPr>
          <w:tblHeader w:val="on"/>
        </w:trPr>
        <w:tc>
          <w:tcPr>
            <w:tcW w:w="411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11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365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65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Причина</w:t>
            </w:r>
          </w:p>
        </w:tc>
        <w:tc>
          <w:tcPr>
            <w:tcW w:w="182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82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28 направлений маршрутизации вручную</w:t>
            </w:r>
          </w:p>
        </w:tc>
        <w:tc>
          <w:tcPr>
            <w:tcW w:w="3657" w:type="dxa"/>
          </w:tcPr>
          <w:tcPr/>
          <w:tcPr>
            <w:tcW w:w="3657" w:type="dxa"/>
          </w:tcPr>
          <w:p>
            <w:pPr>
              <w:pStyle w:val="Compact"/>
            </w:pPr>
            <w:r>
              <w:t xml:space="preserve">Нет автоматической маршрутизации</w:t>
            </w:r>
          </w:p>
        </w:tc>
        <w:tc>
          <w:tcPr>
            <w:tcW w:w="1828" w:type="dxa"/>
          </w:tcPr>
          <w:tcPr/>
          <w:tcPr>
            <w:tcW w:w="1828" w:type="dxa"/>
          </w:tcPr>
          <w:p>
            <w:pPr>
              <w:pStyle w:val="Compact"/>
            </w:pPr>
            <w:r>
              <w:t xml:space="preserve">Задержки, ошибки</w:t>
            </w:r>
          </w:p>
        </w:tc>
      </w:tr>
    </w:tbl>
    <w:bookmarkEnd w:id="24"/>
    <w:bookmarkStart w:id="25" w:name="высокие"/>
    <w:p>
      <w:pPr>
        <w:pStyle w:val="Heading3"/>
      </w:pPr>
      <w:r>
        <w:t xml:space="preserve">Высокие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4682"/>
        <w:gridCol w:w="2341"/>
        <w:gridCol w:w="2575"/>
      </w:tblGrid>
      <w:tr>
        <w:trPr>
          <w:tblHeader w:val="on"/>
        </w:trPr>
        <w:tc>
          <w:tcPr>
            <w:tcW w:w="468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68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234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34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Причина</w:t>
            </w:r>
          </w:p>
        </w:tc>
        <w:tc>
          <w:tcPr>
            <w:tcW w:w="257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57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4682" w:type="dxa"/>
          </w:tcPr>
          <w:tcPr/>
          <w:tcPr>
            <w:tcW w:w="4682" w:type="dxa"/>
          </w:tcPr>
          <w:p>
            <w:pPr>
              <w:pStyle w:val="Compact"/>
            </w:pPr>
            <w:r>
              <w:t xml:space="preserve">Долгое ожидание ответа Отдела продаж</w:t>
            </w:r>
          </w:p>
        </w:tc>
        <w:tc>
          <w:tcPr>
            <w:tcW w:w="2341" w:type="dxa"/>
          </w:tcPr>
          <w:tcPr/>
          <w:tcPr>
            <w:tcW w:w="2341" w:type="dxa"/>
          </w:tcPr>
          <w:p>
            <w:pPr>
              <w:pStyle w:val="Compact"/>
            </w:pPr>
            <w:r>
              <w:t xml:space="preserve">Высокая загрузка</w:t>
            </w:r>
          </w:p>
        </w:tc>
        <w:tc>
          <w:tcPr>
            <w:tcW w:w="2575" w:type="dxa"/>
          </w:tcPr>
          <w:tcPr/>
          <w:tcPr>
            <w:tcW w:w="2575" w:type="dxa"/>
          </w:tcPr>
          <w:p>
            <w:pPr>
              <w:pStyle w:val="Compact"/>
            </w:pPr>
            <w:r>
              <w:t xml:space="preserve">Пропуск звонков</w:t>
            </w:r>
          </w:p>
        </w:tc>
      </w:tr>
      <w:tr>
        <w:tc>
          <w:tcPr>
            <w:tcW w:w="4682" w:type="dxa"/>
          </w:tcPr>
          <w:tcPr/>
          <w:tcPr>
            <w:tcW w:w="4682" w:type="dxa"/>
          </w:tcPr>
          <w:p>
            <w:pPr>
              <w:pStyle w:val="Compact"/>
            </w:pPr>
            <w:r>
              <w:t xml:space="preserve">Отсутствия сотрудников в разных системах</w:t>
            </w:r>
          </w:p>
        </w:tc>
        <w:tc>
          <w:tcPr>
            <w:tcW w:w="2341" w:type="dxa"/>
          </w:tcPr>
          <w:tcPr/>
          <w:tcPr>
            <w:tcW w:w="2341" w:type="dxa"/>
          </w:tcPr>
          <w:p>
            <w:pPr>
              <w:pStyle w:val="Compact"/>
            </w:pPr>
            <w:r>
              <w:t xml:space="preserve">Нет единой платформы</w:t>
            </w:r>
          </w:p>
        </w:tc>
        <w:tc>
          <w:tcPr>
            <w:tcW w:w="2575" w:type="dxa"/>
          </w:tcPr>
          <w:tcPr/>
          <w:tcPr>
            <w:tcW w:w="2575" w:type="dxa"/>
          </w:tcPr>
          <w:p>
            <w:pPr>
              <w:pStyle w:val="Compact"/>
            </w:pPr>
            <w:r>
              <w:t xml:space="preserve">Задержки маршрутизации</w:t>
            </w:r>
          </w:p>
        </w:tc>
      </w:tr>
      <w:tr>
        <w:tc>
          <w:tcPr>
            <w:tcW w:w="4682" w:type="dxa"/>
          </w:tcPr>
          <w:tcPr/>
          <w:tcPr>
            <w:tcW w:w="4682" w:type="dxa"/>
          </w:tcPr>
          <w:p>
            <w:pPr>
              <w:pStyle w:val="Compact"/>
            </w:pPr>
            <w:r>
              <w:t xml:space="preserve">Не все агенты в САМО/Битрикс</w:t>
            </w:r>
          </w:p>
        </w:tc>
        <w:tc>
          <w:tcPr>
            <w:tcW w:w="2341" w:type="dxa"/>
          </w:tcPr>
          <w:tcPr/>
          <w:tcPr>
            <w:tcW w:w="2341" w:type="dxa"/>
          </w:tcPr>
          <w:p>
            <w:pPr>
              <w:pStyle w:val="Compact"/>
            </w:pPr>
            <w:r>
              <w:t xml:space="preserve">Неполные данные</w:t>
            </w:r>
          </w:p>
        </w:tc>
        <w:tc>
          <w:tcPr>
            <w:tcW w:w="2575" w:type="dxa"/>
          </w:tcPr>
          <w:tcPr/>
          <w:tcPr>
            <w:tcW w:w="2575" w:type="dxa"/>
          </w:tcPr>
          <w:p>
            <w:pPr>
              <w:pStyle w:val="Compact"/>
            </w:pPr>
            <w:r>
              <w:t xml:space="preserve">Поиск в интернете</w:t>
            </w:r>
          </w:p>
        </w:tc>
      </w:tr>
      <w:tr>
        <w:tc>
          <w:tcPr>
            <w:tcW w:w="4682" w:type="dxa"/>
          </w:tcPr>
          <w:tcPr/>
          <w:tcPr>
            <w:tcW w:w="4682" w:type="dxa"/>
          </w:tcPr>
          <w:p>
            <w:pPr>
              <w:pStyle w:val="Compact"/>
            </w:pPr>
            <w:r>
              <w:t xml:space="preserve">Устаревшие списки направлений</w:t>
            </w:r>
          </w:p>
        </w:tc>
        <w:tc>
          <w:tcPr>
            <w:tcW w:w="2341" w:type="dxa"/>
          </w:tcPr>
          <w:tcPr/>
          <w:tcPr>
            <w:tcW w:w="2341" w:type="dxa"/>
          </w:tcPr>
          <w:p>
            <w:pPr>
              <w:pStyle w:val="Compact"/>
            </w:pPr>
            <w:r>
              <w:t xml:space="preserve">Не обновляются</w:t>
            </w:r>
          </w:p>
        </w:tc>
        <w:tc>
          <w:tcPr>
            <w:tcW w:w="2575" w:type="dxa"/>
          </w:tcPr>
          <w:tcPr/>
          <w:tcPr>
            <w:tcW w:w="2575" w:type="dxa"/>
          </w:tcPr>
          <w:p>
            <w:pPr>
              <w:pStyle w:val="Compact"/>
            </w:pPr>
            <w:r>
              <w:t xml:space="preserve">Неверная маршрутизация</w:t>
            </w:r>
          </w:p>
        </w:tc>
      </w:tr>
      <w:tr>
        <w:tc>
          <w:tcPr>
            <w:tcW w:w="4682" w:type="dxa"/>
          </w:tcPr>
          <w:tcPr/>
          <w:tcPr>
            <w:tcW w:w="4682" w:type="dxa"/>
          </w:tcPr>
          <w:p>
            <w:pPr>
              <w:pStyle w:val="Compact"/>
            </w:pPr>
            <w:r>
              <w:t xml:space="preserve">Ручной перенос данных САМО → Битрикс</w:t>
            </w:r>
          </w:p>
        </w:tc>
        <w:tc>
          <w:tcPr>
            <w:tcW w:w="2341" w:type="dxa"/>
          </w:tcPr>
          <w:tcPr/>
          <w:tcPr>
            <w:tcW w:w="2341" w:type="dxa"/>
          </w:tcPr>
          <w:p>
            <w:pPr>
              <w:pStyle w:val="Compact"/>
            </w:pPr>
            <w:r>
              <w:t xml:space="preserve">Нет интеграции</w:t>
            </w:r>
          </w:p>
        </w:tc>
        <w:tc>
          <w:tcPr>
            <w:tcW w:w="2575" w:type="dxa"/>
          </w:tcPr>
          <w:tcPr/>
          <w:tcPr>
            <w:tcW w:w="2575" w:type="dxa"/>
          </w:tcPr>
          <w:p>
            <w:pPr>
              <w:pStyle w:val="Compact"/>
            </w:pPr>
            <w:r>
              <w:t xml:space="preserve">Дублирование работы</w:t>
            </w:r>
          </w:p>
        </w:tc>
      </w:tr>
    </w:tbl>
    <w:bookmarkEnd w:id="25"/>
    <w:bookmarkStart w:id="26" w:name="средние"/>
    <w:p>
      <w:pPr>
        <w:pStyle w:val="Heading3"/>
      </w:pPr>
      <w:r>
        <w:t xml:space="preserve">Средние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4008"/>
        <w:gridCol w:w="2531"/>
        <w:gridCol w:w="3059"/>
      </w:tblGrid>
      <w:tr>
        <w:trPr>
          <w:tblHeader w:val="on"/>
        </w:trPr>
        <w:tc>
          <w:tcPr>
            <w:tcW w:w="400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00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253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53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Причина</w:t>
            </w:r>
          </w:p>
        </w:tc>
        <w:tc>
          <w:tcPr>
            <w:tcW w:w="305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05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4008" w:type="dxa"/>
          </w:tcPr>
          <w:tcPr/>
          <w:tcPr>
            <w:tcW w:w="4008" w:type="dxa"/>
          </w:tcPr>
          <w:p>
            <w:pPr>
              <w:pStyle w:val="Compact"/>
            </w:pPr>
            <w:r>
              <w:t xml:space="preserve">Функционал ГП, заявлений не по профилю</w:t>
            </w:r>
          </w:p>
        </w:tc>
        <w:tc>
          <w:tcPr>
            <w:tcW w:w="2531" w:type="dxa"/>
          </w:tcPr>
          <w:tcPr/>
          <w:tcPr>
            <w:tcW w:w="2531" w:type="dxa"/>
          </w:tcPr>
          <w:p>
            <w:pPr>
              <w:pStyle w:val="Compact"/>
            </w:pPr>
            <w:r>
              <w:t xml:space="preserve">Исторически сложилось</w:t>
            </w:r>
          </w:p>
        </w:tc>
        <w:tc>
          <w:tcPr>
            <w:tcW w:w="3059" w:type="dxa"/>
          </w:tcPr>
          <w:tcPr/>
          <w:tcPr>
            <w:tcW w:w="3059" w:type="dxa"/>
          </w:tcPr>
          <w:p>
            <w:pPr>
              <w:pStyle w:val="Compact"/>
            </w:pPr>
            <w:r>
              <w:t xml:space="preserve">Отвлечение от основных задач</w:t>
            </w:r>
          </w:p>
        </w:tc>
      </w:tr>
      <w:tr>
        <w:tc>
          <w:tcPr>
            <w:tcW w:w="4008" w:type="dxa"/>
          </w:tcPr>
          <w:tcPr/>
          <w:tcPr>
            <w:tcW w:w="4008" w:type="dxa"/>
          </w:tcPr>
          <w:p>
            <w:pPr>
              <w:pStyle w:val="Compact"/>
            </w:pPr>
            <w:r>
              <w:t xml:space="preserve">Большое время на прослушку звонков</w:t>
            </w:r>
          </w:p>
        </w:tc>
        <w:tc>
          <w:tcPr>
            <w:tcW w:w="2531" w:type="dxa"/>
          </w:tcPr>
          <w:tcPr/>
          <w:tcPr>
            <w:tcW w:w="2531" w:type="dxa"/>
          </w:tcPr>
          <w:p>
            <w:pPr>
              <w:pStyle w:val="Compact"/>
            </w:pPr>
            <w:r>
              <w:t xml:space="preserve">Ручной контроль качества</w:t>
            </w:r>
          </w:p>
        </w:tc>
        <w:tc>
          <w:tcPr>
            <w:tcW w:w="3059" w:type="dxa"/>
          </w:tcPr>
          <w:tcPr/>
          <w:tcPr>
            <w:tcW w:w="3059" w:type="dxa"/>
          </w:tcPr>
          <w:p>
            <w:pPr>
              <w:pStyle w:val="Compact"/>
            </w:pPr>
            <w:r>
              <w:t xml:space="preserve">Нехватка времени руководителя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точки-автоматизации"/>
    <w:p>
      <w:pPr>
        <w:pStyle w:val="Heading2"/>
      </w:pPr>
      <w:r>
        <w:t xml:space="preserve">8. Точки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83"/>
        <w:gridCol w:w="2814"/>
        <w:gridCol w:w="3226"/>
        <w:gridCol w:w="1991"/>
        <w:gridCol w:w="783"/>
      </w:tblGrid>
      <w:tr>
        <w:trPr>
          <w:tblHeader w:val="on"/>
        </w:trPr>
        <w:tc>
          <w:tcPr>
            <w:tcW w:w="78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8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81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81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322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22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199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99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Ожидаемый эффект</w:t>
            </w:r>
          </w:p>
        </w:tc>
        <w:tc>
          <w:tcPr>
            <w:tcW w:w="78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8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AUTO-SUP-01</w:t>
            </w:r>
          </w:p>
        </w:tc>
        <w:tc>
          <w:tcPr>
            <w:tcW w:w="2814" w:type="dxa"/>
          </w:tcPr>
          <w:tcPr/>
          <w:tcPr>
            <w:tcW w:w="2814" w:type="dxa"/>
          </w:tcPr>
          <w:p>
            <w:pPr>
              <w:pStyle w:val="Compact"/>
            </w:pPr>
            <w:r>
              <w:t xml:space="preserve">Автоматическая маршрутизация по региону</w:t>
            </w:r>
          </w:p>
        </w:tc>
        <w:tc>
          <w:tcPr>
            <w:tcW w:w="3226" w:type="dxa"/>
          </w:tcPr>
          <w:tcPr/>
          <w:tcPr>
            <w:tcW w:w="3226" w:type="dxa"/>
          </w:tcPr>
          <w:p>
            <w:pPr>
              <w:pStyle w:val="Compact"/>
            </w:pPr>
            <w:r>
              <w:t xml:space="preserve">Привязка к ФО → автораспределение сделок</w:t>
            </w:r>
          </w:p>
        </w:tc>
        <w:tc>
          <w:tcPr>
            <w:tcW w:w="1991" w:type="dxa"/>
          </w:tcPr>
          <w:tcPr/>
          <w:tcPr>
            <w:tcW w:w="1991" w:type="dxa"/>
          </w:tcPr>
          <w:p>
            <w:pPr>
              <w:pStyle w:val="Compact"/>
            </w:pPr>
            <w:r>
              <w:t xml:space="preserve">-50% времени маршрутизации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AUTO-SUP-02</w:t>
            </w:r>
          </w:p>
        </w:tc>
        <w:tc>
          <w:tcPr>
            <w:tcW w:w="2814" w:type="dxa"/>
          </w:tcPr>
          <w:tcPr/>
          <w:tcPr>
            <w:tcW w:w="2814" w:type="dxa"/>
          </w:tcPr>
          <w:p>
            <w:pPr>
              <w:pStyle w:val="Compact"/>
            </w:pPr>
            <w:r>
              <w:t xml:space="preserve">Переадресация регионов по номеру телефона</w:t>
            </w:r>
          </w:p>
        </w:tc>
        <w:tc>
          <w:tcPr>
            <w:tcW w:w="3226" w:type="dxa"/>
          </w:tcPr>
          <w:tcPr/>
          <w:tcPr>
            <w:tcW w:w="3226" w:type="dxa"/>
          </w:tcPr>
          <w:p>
            <w:pPr>
              <w:pStyle w:val="Compact"/>
            </w:pPr>
            <w:r>
              <w:t xml:space="preserve">Автопереключение на региональные офисы</w:t>
            </w:r>
          </w:p>
        </w:tc>
        <w:tc>
          <w:tcPr>
            <w:tcW w:w="1991" w:type="dxa"/>
          </w:tcPr>
          <w:tcPr/>
          <w:tcPr>
            <w:tcW w:w="1991" w:type="dxa"/>
          </w:tcPr>
          <w:p>
            <w:pPr>
              <w:pStyle w:val="Compact"/>
            </w:pPr>
            <w:r>
              <w:t xml:space="preserve">Разгрузка отдела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AUTO-SUP-03</w:t>
            </w:r>
          </w:p>
        </w:tc>
        <w:tc>
          <w:tcPr>
            <w:tcW w:w="2814" w:type="dxa"/>
          </w:tcPr>
          <w:tcPr/>
          <w:tcPr>
            <w:tcW w:w="2814" w:type="dxa"/>
          </w:tcPr>
          <w:p>
            <w:pPr>
              <w:pStyle w:val="Compact"/>
            </w:pPr>
            <w:r>
              <w:t xml:space="preserve">ИИ-анализ качества звонков</w:t>
            </w:r>
          </w:p>
        </w:tc>
        <w:tc>
          <w:tcPr>
            <w:tcW w:w="3226" w:type="dxa"/>
          </w:tcPr>
          <w:tcPr/>
          <w:tcPr>
            <w:tcW w:w="3226" w:type="dxa"/>
          </w:tcPr>
          <w:p>
            <w:pPr>
              <w:pStyle w:val="Compact"/>
            </w:pPr>
            <w:r>
              <w:t xml:space="preserve">Робот прослушивает и анализирует звонки</w:t>
            </w:r>
          </w:p>
        </w:tc>
        <w:tc>
          <w:tcPr>
            <w:tcW w:w="1991" w:type="dxa"/>
          </w:tcPr>
          <w:tcPr/>
          <w:tcPr>
            <w:tcW w:w="1991" w:type="dxa"/>
          </w:tcPr>
          <w:p>
            <w:pPr>
              <w:pStyle w:val="Compact"/>
            </w:pPr>
            <w:r>
              <w:t xml:space="preserve">Экономия времени руководителя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AUTO-SUP-04</w:t>
            </w:r>
          </w:p>
        </w:tc>
        <w:tc>
          <w:tcPr>
            <w:tcW w:w="2814" w:type="dxa"/>
          </w:tcPr>
          <w:tcPr/>
          <w:tcPr>
            <w:tcW w:w="2814" w:type="dxa"/>
          </w:tcPr>
          <w:p>
            <w:pPr>
              <w:pStyle w:val="Compact"/>
            </w:pPr>
            <w:r>
              <w:t xml:space="preserve">Единая платформа учёта отсутствий</w:t>
            </w:r>
          </w:p>
        </w:tc>
        <w:tc>
          <w:tcPr>
            <w:tcW w:w="3226" w:type="dxa"/>
          </w:tcPr>
          <w:tcPr/>
          <w:tcPr>
            <w:tcW w:w="3226" w:type="dxa"/>
          </w:tcPr>
          <w:p>
            <w:pPr>
              <w:pStyle w:val="Compact"/>
            </w:pPr>
            <w:r>
              <w:t xml:space="preserve">Все отсутствия в одной системе</w:t>
            </w:r>
          </w:p>
        </w:tc>
        <w:tc>
          <w:tcPr>
            <w:tcW w:w="1991" w:type="dxa"/>
          </w:tcPr>
          <w:tcPr/>
          <w:tcPr>
            <w:tcW w:w="1991" w:type="dxa"/>
          </w:tcPr>
          <w:p>
            <w:pPr>
              <w:pStyle w:val="Compact"/>
            </w:pPr>
            <w:r>
              <w:t xml:space="preserve">Ускорение выбора сотрудника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AUTO-SUP-05</w:t>
            </w:r>
          </w:p>
        </w:tc>
        <w:tc>
          <w:tcPr>
            <w:tcW w:w="2814" w:type="dxa"/>
          </w:tcPr>
          <w:tcPr/>
          <w:tcPr>
            <w:tcW w:w="2814" w:type="dxa"/>
          </w:tcPr>
          <w:p>
            <w:pPr>
              <w:pStyle w:val="Compact"/>
            </w:pPr>
            <w:r>
              <w:t xml:space="preserve">Синхронизация САМО → Битрикс</w:t>
            </w:r>
          </w:p>
        </w:tc>
        <w:tc>
          <w:tcPr>
            <w:tcW w:w="3226" w:type="dxa"/>
          </w:tcPr>
          <w:tcPr/>
          <w:tcPr>
            <w:tcW w:w="3226" w:type="dxa"/>
          </w:tcPr>
          <w:p>
            <w:pPr>
              <w:pStyle w:val="Compact"/>
            </w:pPr>
            <w:r>
              <w:t xml:space="preserve">Автоматическое создание карточек</w:t>
            </w:r>
          </w:p>
        </w:tc>
        <w:tc>
          <w:tcPr>
            <w:tcW w:w="1991" w:type="dxa"/>
          </w:tcPr>
          <w:tcPr/>
          <w:tcPr>
            <w:tcW w:w="1991" w:type="dxa"/>
          </w:tcPr>
          <w:p>
            <w:pPr>
              <w:pStyle w:val="Compact"/>
            </w:pPr>
            <w:r>
              <w:t xml:space="preserve">Устранение дублирования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AUTO-SUP-06</w:t>
            </w:r>
          </w:p>
        </w:tc>
        <w:tc>
          <w:tcPr>
            <w:tcW w:w="2814" w:type="dxa"/>
          </w:tcPr>
          <w:tcPr/>
          <w:tcPr>
            <w:tcW w:w="2814" w:type="dxa"/>
          </w:tcPr>
          <w:p>
            <w:pPr>
              <w:pStyle w:val="Compact"/>
            </w:pPr>
            <w:r>
              <w:t xml:space="preserve">Шаблоны ответов в Outlook</w:t>
            </w:r>
          </w:p>
        </w:tc>
        <w:tc>
          <w:tcPr>
            <w:tcW w:w="3226" w:type="dxa"/>
          </w:tcPr>
          <w:tcPr/>
          <w:tcPr>
            <w:tcW w:w="3226" w:type="dxa"/>
          </w:tcPr>
          <w:p>
            <w:pPr>
              <w:pStyle w:val="Compact"/>
            </w:pPr>
            <w:r>
              <w:t xml:space="preserve">Быстрые ответы по шаблонам</w:t>
            </w:r>
          </w:p>
        </w:tc>
        <w:tc>
          <w:tcPr>
            <w:tcW w:w="1991" w:type="dxa"/>
          </w:tcPr>
          <w:tcPr/>
          <w:tcPr>
            <w:tcW w:w="1991" w:type="dxa"/>
          </w:tcPr>
          <w:p>
            <w:pPr>
              <w:pStyle w:val="Compact"/>
            </w:pPr>
            <w:r>
              <w:t xml:space="preserve">Ускорение ответов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AUTO-SUP-07</w:t>
            </w:r>
          </w:p>
        </w:tc>
        <w:tc>
          <w:tcPr>
            <w:tcW w:w="2814" w:type="dxa"/>
          </w:tcPr>
          <w:tcPr/>
          <w:tcPr>
            <w:tcW w:w="2814" w:type="dxa"/>
          </w:tcPr>
          <w:p>
            <w:pPr>
              <w:pStyle w:val="Compact"/>
            </w:pPr>
            <w:r>
              <w:t xml:space="preserve">Авто-отправка договоров из САМО</w:t>
            </w:r>
          </w:p>
        </w:tc>
        <w:tc>
          <w:tcPr>
            <w:tcW w:w="3226" w:type="dxa"/>
          </w:tcPr>
          <w:tcPr/>
          <w:tcPr>
            <w:tcW w:w="3226" w:type="dxa"/>
          </w:tcPr>
          <w:p>
            <w:pPr>
              <w:pStyle w:val="Compact"/>
            </w:pPr>
            <w:r>
              <w:t xml:space="preserve">САМО отправляет договоры и приветствия</w:t>
            </w:r>
          </w:p>
        </w:tc>
        <w:tc>
          <w:tcPr>
            <w:tcW w:w="1991" w:type="dxa"/>
          </w:tcPr>
          <w:tcPr/>
          <w:tcPr>
            <w:tcW w:w="1991" w:type="dxa"/>
          </w:tcPr>
          <w:p>
            <w:pPr>
              <w:pStyle w:val="Compact"/>
            </w:pPr>
            <w:r>
              <w:t xml:space="preserve">Разгрузка отдела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AUTO-SUP-08</w:t>
            </w:r>
          </w:p>
        </w:tc>
        <w:tc>
          <w:tcPr>
            <w:tcW w:w="2814" w:type="dxa"/>
          </w:tcPr>
          <w:tcPr/>
          <w:tcPr>
            <w:tcW w:w="2814" w:type="dxa"/>
          </w:tcPr>
          <w:p>
            <w:pPr>
              <w:pStyle w:val="Compact"/>
            </w:pPr>
            <w:r>
              <w:t xml:space="preserve">Автоопределение федерального округа</w:t>
            </w:r>
          </w:p>
        </w:tc>
        <w:tc>
          <w:tcPr>
            <w:tcW w:w="3226" w:type="dxa"/>
          </w:tcPr>
          <w:tcPr/>
          <w:tcPr>
            <w:tcW w:w="3226" w:type="dxa"/>
          </w:tcPr>
          <w:p>
            <w:pPr>
              <w:pStyle w:val="Compact"/>
            </w:pPr>
            <w:r>
              <w:t xml:space="preserve">В сообщении о регистрации — город + ФО</w:t>
            </w:r>
          </w:p>
        </w:tc>
        <w:tc>
          <w:tcPr>
            <w:tcW w:w="1991" w:type="dxa"/>
          </w:tcPr>
          <w:tcPr/>
          <w:tcPr>
            <w:tcW w:w="1991" w:type="dxa"/>
          </w:tcPr>
          <w:p>
            <w:pPr>
              <w:pStyle w:val="Compact"/>
            </w:pPr>
            <w:r>
              <w:t xml:space="preserve">Ускорение маршрутизации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AUTO-SUP-09</w:t>
            </w:r>
          </w:p>
        </w:tc>
        <w:tc>
          <w:tcPr>
            <w:tcW w:w="2814" w:type="dxa"/>
          </w:tcPr>
          <w:tcPr/>
          <w:tcPr>
            <w:tcW w:w="2814" w:type="dxa"/>
          </w:tcPr>
          <w:p>
            <w:pPr>
              <w:pStyle w:val="Compact"/>
            </w:pPr>
            <w:r>
              <w:t xml:space="preserve">Автомаршрутизация MICE на 24/7</w:t>
            </w:r>
          </w:p>
        </w:tc>
        <w:tc>
          <w:tcPr>
            <w:tcW w:w="3226" w:type="dxa"/>
          </w:tcPr>
          <w:tcPr/>
          <w:tcPr>
            <w:tcW w:w="3226" w:type="dxa"/>
          </w:tcPr>
          <w:p>
            <w:pPr>
              <w:pStyle w:val="Compact"/>
            </w:pPr>
            <w:r>
              <w:t xml:space="preserve">Автоматическое определение MICE-клиента по тегу</w:t>
            </w:r>
          </w:p>
        </w:tc>
        <w:tc>
          <w:tcPr>
            <w:tcW w:w="1991" w:type="dxa"/>
          </w:tcPr>
          <w:tcPr/>
          <w:tcPr>
            <w:tcW w:w="1991" w:type="dxa"/>
          </w:tcPr>
          <w:p>
            <w:pPr>
              <w:pStyle w:val="Compact"/>
            </w:pPr>
            <w:r>
              <w:t xml:space="preserve">Гарантия 24/7 поддержки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ии-анализ-качества-звонков-auto-sup-03"/>
    <w:p>
      <w:pPr>
        <w:pStyle w:val="Heading2"/>
      </w:pPr>
      <w:r>
        <w:t xml:space="preserve">9. ИИ-анализ качества звонков (AUTO-SUP-03)</w:t>
      </w:r>
    </w:p>
    <w:bookmarkStart w:id="29" w:name="критерии-оценки-качества-звонков"/>
    <w:p>
      <w:pPr>
        <w:pStyle w:val="Heading3"/>
      </w:pPr>
      <w:r>
        <w:t xml:space="preserve">Критерии оценки качества звонков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684"/>
        <w:gridCol w:w="764"/>
        <w:gridCol w:w="4138"/>
        <w:gridCol w:w="2013"/>
      </w:tblGrid>
      <w:tr>
        <w:trPr>
          <w:tblHeader w:val="on"/>
        </w:trPr>
        <w:tc>
          <w:tcPr>
            <w:tcW w:w="268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8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76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6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Вес</w:t>
            </w:r>
          </w:p>
        </w:tc>
        <w:tc>
          <w:tcPr>
            <w:tcW w:w="413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13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01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01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Целевой показатель</w:t>
            </w:r>
          </w:p>
        </w:tc>
      </w:tr>
      <w:tr>
        <w:tc>
          <w:tcPr>
            <w:tcW w:w="2684" w:type="dxa"/>
          </w:tcPr>
          <w:tcPr/>
          <w:tcPr>
            <w:tcW w:w="268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1. Приветствие</w:t>
            </w:r>
          </w:p>
        </w:tc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W w:w="4138" w:type="dxa"/>
          </w:tcPr>
          <w:tcPr/>
          <w:tcPr>
            <w:tcW w:w="4138" w:type="dxa"/>
          </w:tcPr>
          <w:p>
            <w:pPr>
              <w:pStyle w:val="Compact"/>
            </w:pPr>
            <w:r>
              <w:t xml:space="preserve">Корректное приветствие по стандарту</w:t>
            </w:r>
          </w:p>
        </w:tc>
        <w:tc>
          <w:tcPr>
            <w:tcW w:w="2013" w:type="dxa"/>
          </w:tcPr>
          <w:tcPr/>
          <w:tcPr>
            <w:tcW w:w="2013" w:type="dxa"/>
          </w:tcPr>
          <w:p>
            <w:pPr>
              <w:pStyle w:val="Compact"/>
            </w:pPr>
            <w:r>
              <w:t xml:space="preserve">100% соблюдение</w:t>
            </w:r>
          </w:p>
        </w:tc>
      </w:tr>
      <w:tr>
        <w:tc>
          <w:tcPr>
            <w:tcW w:w="2684" w:type="dxa"/>
          </w:tcPr>
          <w:tcPr/>
          <w:tcPr>
            <w:tcW w:w="268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2. Выявление потребности</w:t>
            </w:r>
          </w:p>
        </w:tc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W w:w="4138" w:type="dxa"/>
          </w:tcPr>
          <w:tcPr/>
          <w:tcPr>
            <w:tcW w:w="4138" w:type="dxa"/>
          </w:tcPr>
          <w:p>
            <w:pPr>
              <w:pStyle w:val="Compact"/>
            </w:pPr>
            <w:r>
              <w:t xml:space="preserve">Уточняющие вопросы, активное слушание</w:t>
            </w:r>
          </w:p>
        </w:tc>
        <w:tc>
          <w:tcPr>
            <w:tcW w:w="2013" w:type="dxa"/>
          </w:tcPr>
          <w:tcPr/>
          <w:tcPr>
            <w:tcW w:w="2013" w:type="dxa"/>
          </w:tcPr>
          <w:p>
            <w:pPr>
              <w:pStyle w:val="Compact"/>
            </w:pPr>
            <w:r>
              <w:t xml:space="preserve">≥4 из 5 баллов</w:t>
            </w:r>
          </w:p>
        </w:tc>
      </w:tr>
      <w:tr>
        <w:tc>
          <w:tcPr>
            <w:tcW w:w="2684" w:type="dxa"/>
          </w:tcPr>
          <w:tcPr/>
          <w:tcPr>
            <w:tcW w:w="268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3. Компетентность</w:t>
            </w:r>
          </w:p>
        </w:tc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W w:w="4138" w:type="dxa"/>
          </w:tcPr>
          <w:tcPr/>
          <w:tcPr>
            <w:tcW w:w="4138" w:type="dxa"/>
          </w:tcPr>
          <w:p>
            <w:pPr>
              <w:pStyle w:val="Compact"/>
            </w:pPr>
            <w:r>
              <w:t xml:space="preserve">Знание продукта, владение системами</w:t>
            </w:r>
          </w:p>
        </w:tc>
        <w:tc>
          <w:tcPr>
            <w:tcW w:w="2013" w:type="dxa"/>
          </w:tcPr>
          <w:tcPr/>
          <w:tcPr>
            <w:tcW w:w="2013" w:type="dxa"/>
          </w:tcPr>
          <w:p>
            <w:pPr>
              <w:pStyle w:val="Compact"/>
            </w:pPr>
            <w:r>
              <w:t xml:space="preserve">≥4 из 5 баллов</w:t>
            </w:r>
          </w:p>
        </w:tc>
      </w:tr>
      <w:tr>
        <w:tc>
          <w:tcPr>
            <w:tcW w:w="2684" w:type="dxa"/>
          </w:tcPr>
          <w:tcPr/>
          <w:tcPr>
            <w:tcW w:w="268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4. Решение вопроса</w:t>
            </w:r>
          </w:p>
        </w:tc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W w:w="4138" w:type="dxa"/>
          </w:tcPr>
          <w:tcPr/>
          <w:tcPr>
            <w:tcW w:w="4138" w:type="dxa"/>
          </w:tcPr>
          <w:p>
            <w:pPr>
              <w:pStyle w:val="Compact"/>
            </w:pPr>
            <w:r>
              <w:t xml:space="preserve">Полнота ответа, FCR</w:t>
            </w:r>
          </w:p>
        </w:tc>
        <w:tc>
          <w:tcPr>
            <w:tcW w:w="2013" w:type="dxa"/>
          </w:tcPr>
          <w:tcPr/>
          <w:tcPr>
            <w:tcW w:w="2013" w:type="dxa"/>
          </w:tcPr>
          <w:p>
            <w:pPr>
              <w:pStyle w:val="Compact"/>
            </w:pPr>
            <w:r>
              <w:t xml:space="preserve">FCR ≥70%</w:t>
            </w:r>
          </w:p>
        </w:tc>
      </w:tr>
      <w:tr>
        <w:tc>
          <w:tcPr>
            <w:tcW w:w="2684" w:type="dxa"/>
          </w:tcPr>
          <w:tcPr/>
          <w:tcPr>
            <w:tcW w:w="268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5. Завершение разговора</w:t>
            </w:r>
          </w:p>
        </w:tc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W w:w="4138" w:type="dxa"/>
          </w:tcPr>
          <w:tcPr/>
          <w:tcPr>
            <w:tcW w:w="4138" w:type="dxa"/>
          </w:tcPr>
          <w:p>
            <w:pPr>
              <w:pStyle w:val="Compact"/>
            </w:pPr>
            <w:r>
              <w:t xml:space="preserve">Подведение итогов, прощание</w:t>
            </w:r>
          </w:p>
        </w:tc>
        <w:tc>
          <w:tcPr>
            <w:tcW w:w="2013" w:type="dxa"/>
          </w:tcPr>
          <w:tcPr/>
          <w:tcPr>
            <w:tcW w:w="2013" w:type="dxa"/>
          </w:tcPr>
          <w:p>
            <w:pPr>
              <w:pStyle w:val="Compact"/>
            </w:pPr>
            <w:r>
              <w:t xml:space="preserve">100% соблюдение</w:t>
            </w:r>
          </w:p>
        </w:tc>
      </w:tr>
      <w:tr>
        <w:tc>
          <w:tcPr>
            <w:tcW w:w="2684" w:type="dxa"/>
          </w:tcPr>
          <w:tcPr/>
          <w:tcPr>
            <w:tcW w:w="268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6. Время разговора</w:t>
            </w:r>
          </w:p>
        </w:tc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W w:w="4138" w:type="dxa"/>
          </w:tcPr>
          <w:tcPr/>
          <w:tcPr>
            <w:tcW w:w="4138" w:type="dxa"/>
          </w:tcPr>
          <w:p>
            <w:pPr>
              <w:pStyle w:val="Compact"/>
            </w:pPr>
            <w:r>
              <w:t xml:space="preserve">Соответствие нормативам</w:t>
            </w:r>
          </w:p>
        </w:tc>
        <w:tc>
          <w:tcPr>
            <w:tcW w:w="2013" w:type="dxa"/>
          </w:tcPr>
          <w:tcPr/>
          <w:tcPr>
            <w:tcW w:w="2013" w:type="dxa"/>
          </w:tcPr>
          <w:p>
            <w:pPr>
              <w:pStyle w:val="Compact"/>
            </w:pPr>
            <w:r>
              <w:t xml:space="preserve">≤норматива</w:t>
            </w:r>
          </w:p>
        </w:tc>
      </w:tr>
    </w:tbl>
    <w:bookmarkEnd w:id="29"/>
    <w:bookmarkStart w:id="30" w:name="дополнительные-параметры-анализа"/>
    <w:p>
      <w:pPr>
        <w:pStyle w:val="Heading3"/>
      </w:pPr>
      <w:r>
        <w:t xml:space="preserve">Дополнительные параметры анализа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308"/>
        <w:gridCol w:w="3767"/>
        <w:gridCol w:w="3524"/>
      </w:tblGrid>
      <w:tr>
        <w:trPr>
          <w:tblHeader w:val="on"/>
        </w:trPr>
        <w:tc>
          <w:tcPr>
            <w:tcW w:w="230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30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376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76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352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52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Красные флаги</w:t>
            </w:r>
          </w:p>
        </w:tc>
      </w:tr>
      <w:tr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Тон и эмоции</w:t>
            </w:r>
          </w:p>
        </w:tc>
        <w:tc>
          <w:tcPr>
            <w:tcW w:w="3767" w:type="dxa"/>
          </w:tcPr>
          <w:tcPr/>
          <w:tcPr>
            <w:tcW w:w="3767" w:type="dxa"/>
          </w:tcPr>
          <w:p>
            <w:pPr>
              <w:pStyle w:val="Compact"/>
            </w:pPr>
            <w:r>
              <w:t xml:space="preserve">Анализ эмоциональной окраски</w:t>
            </w:r>
          </w:p>
        </w:tc>
        <w:tc>
          <w:tcPr>
            <w:tcW w:w="3524" w:type="dxa"/>
          </w:tcPr>
          <w:tcPr/>
          <w:tcPr>
            <w:tcW w:w="3524" w:type="dxa"/>
          </w:tcPr>
          <w:p>
            <w:pPr>
              <w:pStyle w:val="Compact"/>
            </w:pPr>
            <w:r>
              <w:t xml:space="preserve">Раздражение, повышение голоса</w:t>
            </w:r>
          </w:p>
        </w:tc>
      </w:tr>
      <w:tr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Скорость речи</w:t>
            </w:r>
          </w:p>
        </w:tc>
        <w:tc>
          <w:tcPr>
            <w:tcW w:w="3767" w:type="dxa"/>
          </w:tcPr>
          <w:tcPr/>
          <w:tcPr>
            <w:tcW w:w="3767" w:type="dxa"/>
          </w:tcPr>
          <w:p>
            <w:pPr>
              <w:pStyle w:val="Compact"/>
            </w:pPr>
            <w:r>
              <w:t xml:space="preserve">Темп и внятность речи</w:t>
            </w:r>
          </w:p>
        </w:tc>
        <w:tc>
          <w:tcPr>
            <w:tcW w:w="3524" w:type="dxa"/>
          </w:tcPr>
          <w:tcPr/>
          <w:tcPr>
            <w:tcW w:w="3524" w:type="dxa"/>
          </w:tcPr>
          <w:p>
            <w:pPr>
              <w:pStyle w:val="Compact"/>
            </w:pPr>
            <w:r>
              <w:t xml:space="preserve">Слишком быстро / нечётко</w:t>
            </w:r>
          </w:p>
        </w:tc>
      </w:tr>
      <w:tr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Запрещённые фразы</w:t>
            </w:r>
          </w:p>
        </w:tc>
        <w:tc>
          <w:tcPr>
            <w:tcW w:w="3767" w:type="dxa"/>
          </w:tcPr>
          <w:tcPr/>
          <w:tcPr>
            <w:tcW w:w="3767" w:type="dxa"/>
          </w:tcPr>
          <w:p>
            <w:pPr>
              <w:pStyle w:val="Compact"/>
            </w:pPr>
            <w:r>
              <w:t xml:space="preserve">«Я не знаю», «Это не ко мне»</w:t>
            </w:r>
          </w:p>
        </w:tc>
        <w:tc>
          <w:tcPr>
            <w:tcW w:w="3524" w:type="dxa"/>
          </w:tcPr>
          <w:tcPr/>
          <w:tcPr>
            <w:tcW w:w="3524" w:type="dxa"/>
          </w:tcPr>
          <w:p>
            <w:pPr>
              <w:pStyle w:val="Compact"/>
            </w:pPr>
            <w:r>
              <w:t xml:space="preserve">Любое использование</w:t>
            </w:r>
          </w:p>
        </w:tc>
      </w:tr>
      <w:tr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Перебивание клиента</w:t>
            </w:r>
          </w:p>
        </w:tc>
        <w:tc>
          <w:tcPr>
            <w:tcW w:w="3767" w:type="dxa"/>
          </w:tcPr>
          <w:tcPr/>
          <w:tcPr>
            <w:tcW w:w="3767" w:type="dxa"/>
          </w:tcPr>
          <w:p>
            <w:pPr>
              <w:pStyle w:val="Compact"/>
            </w:pPr>
            <w:r>
              <w:t xml:space="preserve">Прерывание клиента на полуслове</w:t>
            </w:r>
          </w:p>
        </w:tc>
        <w:tc>
          <w:tcPr>
            <w:tcW w:w="3524" w:type="dxa"/>
          </w:tcPr>
          <w:tcPr/>
          <w:tcPr>
            <w:tcW w:w="3524" w:type="dxa"/>
          </w:tcPr>
          <w:p>
            <w:pPr>
              <w:pStyle w:val="Compact"/>
            </w:pPr>
            <w:r>
              <w:t xml:space="preserve">&gt;2 раз за звонок</w:t>
            </w:r>
          </w:p>
        </w:tc>
      </w:tr>
    </w:tbl>
    <w:bookmarkEnd w:id="30"/>
    <w:bookmarkStart w:id="31" w:name="ожидаемый-эффект"/>
    <w:p>
      <w:pPr>
        <w:pStyle w:val="Heading3"/>
      </w:pPr>
      <w:r>
        <w:t xml:space="preserve">Ожидаемый эффект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881"/>
        <w:gridCol w:w="2115"/>
        <w:gridCol w:w="2603"/>
      </w:tblGrid>
      <w:tr>
        <w:trPr>
          <w:tblHeader w:val="on"/>
        </w:trPr>
        <w:tc>
          <w:tcPr>
            <w:tcW w:w="488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88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11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1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До интеграции</w:t>
            </w:r>
          </w:p>
        </w:tc>
        <w:tc>
          <w:tcPr>
            <w:tcW w:w="260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0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После интеграции</w:t>
            </w:r>
          </w:p>
        </w:tc>
      </w:tr>
      <w:tr>
        <w:tc>
          <w:tcPr>
            <w:tcW w:w="4881" w:type="dxa"/>
          </w:tcPr>
          <w:tcPr/>
          <w:tcPr>
            <w:tcW w:w="4881" w:type="dxa"/>
          </w:tcPr>
          <w:p>
            <w:pPr>
              <w:pStyle w:val="Compact"/>
            </w:pPr>
            <w:r>
              <w:t xml:space="preserve">Время руководителя на контроль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8-10 ч/неделю</w:t>
            </w:r>
          </w:p>
        </w:tc>
        <w:tc>
          <w:tcPr>
            <w:tcW w:w="2603" w:type="dxa"/>
          </w:tcPr>
          <w:tcPr/>
          <w:tcPr>
            <w:tcW w:w="2603" w:type="dxa"/>
          </w:tcPr>
          <w:p>
            <w:pPr>
              <w:pStyle w:val="Compact"/>
            </w:pPr>
            <w:r>
              <w:t xml:space="preserve">1-2 ч/неделю</w:t>
            </w:r>
          </w:p>
        </w:tc>
      </w:tr>
      <w:tr>
        <w:tc>
          <w:tcPr>
            <w:tcW w:w="4881" w:type="dxa"/>
          </w:tcPr>
          <w:tcPr/>
          <w:tcPr>
            <w:tcW w:w="4881" w:type="dxa"/>
          </w:tcPr>
          <w:p>
            <w:pPr>
              <w:pStyle w:val="Compact"/>
            </w:pPr>
            <w:r>
              <w:t xml:space="preserve">Охват анализа звонков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~5%</w:t>
            </w:r>
          </w:p>
        </w:tc>
        <w:tc>
          <w:tcPr>
            <w:tcW w:w="2603" w:type="dxa"/>
          </w:tcPr>
          <w:tcPr/>
          <w:tcPr>
            <w:tcW w:w="2603" w:type="dxa"/>
          </w:tcPr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>
            <w:tcW w:w="4881" w:type="dxa"/>
          </w:tcPr>
          <w:tcPr/>
          <w:tcPr>
            <w:tcW w:w="4881" w:type="dxa"/>
          </w:tcPr>
          <w:p>
            <w:pPr>
              <w:pStyle w:val="Compact"/>
            </w:pPr>
            <w:r>
              <w:t xml:space="preserve">Время выявления проблем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2-4 недели</w:t>
            </w:r>
          </w:p>
        </w:tc>
        <w:tc>
          <w:tcPr>
            <w:tcW w:w="2603" w:type="dxa"/>
          </w:tcPr>
          <w:tcPr/>
          <w:tcPr>
            <w:tcW w:w="2603" w:type="dxa"/>
          </w:tcPr>
          <w:p>
            <w:pPr>
              <w:pStyle w:val="Compact"/>
            </w:pPr>
            <w:r>
              <w:t xml:space="preserve">1 неделя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взаимодействие-с-другими-процессами"/>
    <w:p>
      <w:pPr>
        <w:pStyle w:val="Heading2"/>
      </w:pPr>
      <w:r>
        <w:t xml:space="preserve">10. Взаимодействие с другими процессами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694"/>
        <w:gridCol w:w="4743"/>
        <w:gridCol w:w="3162"/>
      </w:tblGrid>
      <w:tr>
        <w:trPr>
          <w:tblHeader w:val="on"/>
        </w:trPr>
        <w:tc>
          <w:tcPr>
            <w:tcW w:w="169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69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Процесс</w:t>
            </w:r>
          </w:p>
        </w:tc>
        <w:tc>
          <w:tcPr>
            <w:tcW w:w="474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74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Тип взаимодействия</w:t>
            </w:r>
          </w:p>
        </w:tc>
        <w:tc>
          <w:tcPr>
            <w:tcW w:w="316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16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Точка передачи</w:t>
            </w:r>
          </w:p>
        </w:tc>
      </w:tr>
      <w:tr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BP-01 (Заявка)</w:t>
            </w:r>
          </w:p>
        </w:tc>
        <w:tc>
          <w:tcPr>
            <w:tcW w:w="4743" w:type="dxa"/>
          </w:tcPr>
          <w:tcPr/>
          <w:tcPr>
            <w:tcW w:w="4743" w:type="dxa"/>
          </w:tcPr>
          <w:p>
            <w:pPr>
              <w:pStyle w:val="Compact"/>
            </w:pPr>
            <w:r>
              <w:t xml:space="preserve">Маршрутизация запросов на расчёт → Продажи</w:t>
            </w:r>
          </w:p>
        </w:tc>
        <w:tc>
          <w:tcPr>
            <w:tcW w:w="3162" w:type="dxa"/>
          </w:tcPr>
          <w:tcPr/>
          <w:tcPr>
            <w:tcW w:w="3162" w:type="dxa"/>
          </w:tcPr>
          <w:p>
            <w:pPr>
              <w:pStyle w:val="Compact"/>
            </w:pPr>
            <w:r>
              <w:t xml:space="preserve">Сделка в Битрикс</w:t>
            </w:r>
          </w:p>
        </w:tc>
      </w:tr>
      <w:tr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BP-01 (Заявка)</w:t>
            </w:r>
          </w:p>
        </w:tc>
        <w:tc>
          <w:tcPr>
            <w:tcW w:w="4743" w:type="dxa"/>
          </w:tcPr>
          <w:tcPr/>
          <w:tcPr>
            <w:tcW w:w="4743" w:type="dxa"/>
          </w:tcPr>
          <w:p>
            <w:pPr>
              <w:pStyle w:val="Compact"/>
            </w:pPr>
            <w:r>
              <w:t xml:space="preserve">Проблемы в поездке → 24/7 поддержка</w:t>
            </w:r>
          </w:p>
        </w:tc>
        <w:tc>
          <w:tcPr>
            <w:tcW w:w="3162" w:type="dxa"/>
          </w:tcPr>
          <w:tcPr/>
          <w:tcPr>
            <w:tcW w:w="3162" w:type="dxa"/>
          </w:tcPr>
          <w:p>
            <w:pPr>
              <w:pStyle w:val="Compact"/>
            </w:pPr>
            <w:r>
              <w:t xml:space="preserve">Звонок/мессенджер</w:t>
            </w:r>
          </w:p>
        </w:tc>
      </w:tr>
      <w:tr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BP-03 (MICE)</w:t>
            </w:r>
          </w:p>
        </w:tc>
        <w:tc>
          <w:tcPr>
            <w:tcW w:w="4743" w:type="dxa"/>
          </w:tcPr>
          <w:tcPr/>
          <w:tcPr>
            <w:tcW w:w="4743" w:type="dxa"/>
          </w:tcPr>
          <w:p>
            <w:pPr>
              <w:pStyle w:val="Compact"/>
            </w:pPr>
            <w:r>
              <w:t xml:space="preserve">Поддержка MICE-клиентов 24/7</w:t>
            </w:r>
          </w:p>
        </w:tc>
        <w:tc>
          <w:tcPr>
            <w:tcW w:w="3162" w:type="dxa"/>
          </w:tcPr>
          <w:tcPr/>
          <w:tcPr>
            <w:tcW w:w="3162" w:type="dxa"/>
          </w:tcPr>
          <w:p>
            <w:pPr>
              <w:pStyle w:val="Compact"/>
            </w:pPr>
            <w:r>
              <w:t xml:space="preserve">Сделка «MICE-поддержка 24/7»</w:t>
            </w:r>
          </w:p>
        </w:tc>
      </w:tr>
      <w:tr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BP-04 (Финансы)</w:t>
            </w:r>
          </w:p>
        </w:tc>
        <w:tc>
          <w:tcPr>
            <w:tcW w:w="4743" w:type="dxa"/>
          </w:tcPr>
          <w:tcPr/>
          <w:tcPr>
            <w:tcW w:w="4743" w:type="dxa"/>
          </w:tcPr>
          <w:p>
            <w:pPr>
              <w:pStyle w:val="Compact"/>
            </w:pPr>
            <w:r>
              <w:t xml:space="preserve">Заявления на перенос/возврат → Бухгалтерия</w:t>
            </w:r>
          </w:p>
        </w:tc>
        <w:tc>
          <w:tcPr>
            <w:tcW w:w="3162" w:type="dxa"/>
          </w:tcPr>
          <w:tcPr/>
          <w:tcPr>
            <w:tcW w:w="3162" w:type="dxa"/>
          </w:tcPr>
          <w:p>
            <w:pPr>
              <w:pStyle w:val="Compact"/>
            </w:pPr>
            <w:r>
              <w:t xml:space="preserve">Инвойс-трекер</w:t>
            </w:r>
          </w:p>
        </w:tc>
      </w:tr>
      <w:tr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BP-05 (Продукт)</w:t>
            </w:r>
          </w:p>
        </w:tc>
        <w:tc>
          <w:tcPr>
            <w:tcW w:w="4743" w:type="dxa"/>
          </w:tcPr>
          <w:tcPr/>
          <w:tcPr>
            <w:tcW w:w="4743" w:type="dxa"/>
          </w:tcPr>
          <w:p>
            <w:pPr>
              <w:pStyle w:val="Compact"/>
            </w:pPr>
            <w:r>
              <w:t xml:space="preserve">Ошибки на сайте → Тарификация/IT</w:t>
            </w:r>
          </w:p>
        </w:tc>
        <w:tc>
          <w:tcPr>
            <w:tcW w:w="3162" w:type="dxa"/>
          </w:tcPr>
          <w:tcPr/>
          <w:tcPr>
            <w:tcW w:w="3162" w:type="dxa"/>
          </w:tcPr>
          <w:p>
            <w:pPr>
              <w:pStyle w:val="Compact"/>
            </w:pPr>
            <w:r>
              <w:t xml:space="preserve">Задача/почта</w:t>
            </w:r>
          </w:p>
        </w:tc>
      </w:tr>
      <w:tr>
        <w:tc>
          <w:tcPr>
            <w:tcW w:w="1694" w:type="dxa"/>
          </w:tcPr>
          <w:tcPr/>
          <w:tcPr>
            <w:tcW w:w="16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BP-07 (HR)</w:t>
            </w:r>
          </w:p>
        </w:tc>
        <w:tc>
          <w:tcPr>
            <w:tcW w:w="4743" w:type="dxa"/>
          </w:tcPr>
          <w:tcPr/>
          <w:tcPr>
            <w:tcW w:w="4743" w:type="dxa"/>
          </w:tcPr>
          <w:p>
            <w:pPr>
              <w:pStyle w:val="Compact"/>
            </w:pPr>
            <w:r>
              <w:t xml:space="preserve">Данные качества звонков → Обучение</w:t>
            </w:r>
          </w:p>
        </w:tc>
        <w:tc>
          <w:tcPr>
            <w:tcW w:w="3162" w:type="dxa"/>
          </w:tcPr>
          <w:tcPr/>
          <w:tcPr>
            <w:tcW w:w="3162" w:type="dxa"/>
          </w:tcPr>
          <w:p>
            <w:pPr>
              <w:pStyle w:val="Compact"/>
            </w:pPr>
            <w:r>
              <w:t xml:space="preserve">Еженедельный отчёт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рекомендации"/>
    <w:p>
      <w:pPr>
        <w:pStyle w:val="Heading2"/>
      </w:pPr>
      <w:r>
        <w:t xml:space="preserve">11. Рекомендации</w:t>
      </w:r>
    </w:p>
    <w:bookmarkStart w:id="34" w:name="немедленные-действия"/>
    <w:p>
      <w:pPr>
        <w:pStyle w:val="Heading3"/>
      </w:pPr>
      <w:r>
        <w:t xml:space="preserve">Немедленные действия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Обновить списки направлений и сотрудников</w:t>
      </w:r>
      <w:r>
        <w:t xml:space="preserve"> </w:t>
      </w:r>
      <w:r>
        <w:t xml:space="preserve">— актуализировать маршрутизацию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Внедрить единую платформу учёта отсутствий</w:t>
      </w:r>
      <w:r>
        <w:t xml:space="preserve"> </w:t>
      </w:r>
      <w:r>
        <w:t xml:space="preserve">— все в одном месте</w:t>
      </w:r>
    </w:p>
    <w:bookmarkEnd w:id="34"/>
    <w:bookmarkStart w:id="35" w:name="среднесрочные"/>
    <w:p>
      <w:pPr>
        <w:pStyle w:val="Heading3"/>
      </w:pPr>
      <w:r>
        <w:t xml:space="preserve">Среднесрочные</w:t>
      </w:r>
    </w:p>
    <w:p>
      <w:pPr>
        <w:pStyle w:val="Compact"/>
        <w:numPr>
          <w:ilvl w:val="0"/>
          <w:numId w:val="1008"/>
        </w:numPr>
      </w:pPr>
      <w:r>
        <w:t xml:space="preserve">Автоматическая маршрутизация по региону (привязка к ФО)</w:t>
      </w:r>
    </w:p>
    <w:p>
      <w:pPr>
        <w:pStyle w:val="Compact"/>
        <w:numPr>
          <w:ilvl w:val="0"/>
          <w:numId w:val="1008"/>
        </w:numPr>
      </w:pPr>
      <w:r>
        <w:t xml:space="preserve">Переадресация звонков регионов по номеру телефона</w:t>
      </w:r>
    </w:p>
    <w:p>
      <w:pPr>
        <w:pStyle w:val="Compact"/>
        <w:numPr>
          <w:ilvl w:val="0"/>
          <w:numId w:val="1008"/>
        </w:numPr>
      </w:pPr>
      <w:r>
        <w:t xml:space="preserve">ИИ-анализ качества звонков</w:t>
      </w:r>
    </w:p>
    <w:bookmarkEnd w:id="35"/>
    <w:bookmarkStart w:id="36" w:name="долгосрочные"/>
    <w:p>
      <w:pPr>
        <w:pStyle w:val="Heading3"/>
      </w:pPr>
      <w:r>
        <w:t xml:space="preserve">Долгосрочные</w:t>
      </w:r>
    </w:p>
    <w:p>
      <w:pPr>
        <w:pStyle w:val="Compact"/>
        <w:numPr>
          <w:ilvl w:val="0"/>
          <w:numId w:val="1009"/>
        </w:numPr>
      </w:pPr>
      <w:r>
        <w:t xml:space="preserve">Полная интеграция САМО ↔ Битрикс (карточки, сделки)</w:t>
      </w:r>
    </w:p>
    <w:p>
      <w:pPr>
        <w:pStyle w:val="Compact"/>
        <w:numPr>
          <w:ilvl w:val="0"/>
          <w:numId w:val="1009"/>
        </w:numPr>
      </w:pPr>
      <w:r>
        <w:t xml:space="preserve">Омниканальная платформа для всех обращений</w:t>
      </w:r>
    </w:p>
    <w:p>
      <w:pPr>
        <w:pStyle w:val="Compact"/>
        <w:numPr>
          <w:ilvl w:val="0"/>
          <w:numId w:val="1009"/>
        </w:numPr>
      </w:pPr>
      <w:r>
        <w:t xml:space="preserve">Чат-бот для первичной классификации обращений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контрольные-точки-процесса"/>
    <w:p>
      <w:pPr>
        <w:pStyle w:val="Heading2"/>
      </w:pPr>
      <w:r>
        <w:t xml:space="preserve">12. Контрольные точки процесса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64"/>
        <w:gridCol w:w="1427"/>
        <w:gridCol w:w="2205"/>
        <w:gridCol w:w="3502"/>
      </w:tblGrid>
      <w:tr>
        <w:trPr>
          <w:tblHeader w:val="on"/>
        </w:trPr>
        <w:tc>
          <w:tcPr>
            <w:tcW w:w="246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46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Время</w:t>
            </w:r>
          </w:p>
        </w:tc>
        <w:tc>
          <w:tcPr>
            <w:tcW w:w="142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42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Канал</w:t>
            </w:r>
          </w:p>
        </w:tc>
        <w:tc>
          <w:tcPr>
            <w:tcW w:w="220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20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SLA</w:t>
            </w:r>
          </w:p>
        </w:tc>
        <w:tc>
          <w:tcPr>
            <w:tcW w:w="350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50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>
            <w:tcW w:w="2464" w:type="dxa"/>
          </w:tcPr>
          <w:tcPr/>
          <w:tcPr>
            <w:tcW w:w="2464" w:type="dxa"/>
          </w:tcPr>
          <w:p>
            <w:pPr>
              <w:pStyle w:val="Compact"/>
            </w:pPr>
            <w:r>
              <w:t xml:space="preserve">24/7</w:t>
            </w:r>
          </w:p>
        </w:tc>
        <w:tc>
          <w:tcPr>
            <w:tcW w:w="1427" w:type="dxa"/>
          </w:tcPr>
          <w:tcPr/>
          <w:tcPr>
            <w:tcW w:w="1427" w:type="dxa"/>
          </w:tcPr>
          <w:p>
            <w:pPr>
              <w:pStyle w:val="Compact"/>
            </w:pPr>
            <w:r>
              <w:t xml:space="preserve">Телефон</w:t>
            </w:r>
          </w:p>
        </w:tc>
        <w:tc>
          <w:tcPr>
            <w:tcW w:w="2205" w:type="dxa"/>
          </w:tcPr>
          <w:tcPr/>
          <w:tcPr>
            <w:tcW w:w="2205" w:type="dxa"/>
          </w:tcPr>
          <w:p>
            <w:pPr>
              <w:pStyle w:val="Compact"/>
            </w:pPr>
            <w:r>
              <w:t xml:space="preserve">Приём ≤30 сек</w:t>
            </w:r>
          </w:p>
        </w:tc>
        <w:tc>
          <w:tcPr>
            <w:tcW w:w="3502" w:type="dxa"/>
          </w:tcPr>
          <w:tcPr/>
          <w:tcPr>
            <w:tcW w:w="3502" w:type="dxa"/>
          </w:tcPr>
          <w:p>
            <w:pPr>
              <w:pStyle w:val="Compact"/>
            </w:pPr>
            <w:r>
              <w:t xml:space="preserve">Клиентская поддержка / 24/7</w:t>
            </w:r>
          </w:p>
        </w:tc>
      </w:tr>
      <w:tr>
        <w:tc>
          <w:tcPr>
            <w:tcW w:w="2464" w:type="dxa"/>
          </w:tcPr>
          <w:tcPr/>
          <w:tcPr>
            <w:tcW w:w="2464" w:type="dxa"/>
          </w:tcPr>
          <w:p>
            <w:pPr>
              <w:pStyle w:val="Compact"/>
            </w:pPr>
            <w:r>
              <w:t xml:space="preserve">Рабочее время</w:t>
            </w:r>
          </w:p>
        </w:tc>
        <w:tc>
          <w:tcPr>
            <w:tcW w:w="1427" w:type="dxa"/>
          </w:tcPr>
          <w:tcPr/>
          <w:tcPr>
            <w:tcW w:w="1427" w:type="dxa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W w:w="2205" w:type="dxa"/>
          </w:tcPr>
          <w:tcPr/>
          <w:tcPr>
            <w:tcW w:w="2205" w:type="dxa"/>
          </w:tcPr>
          <w:p>
            <w:pPr>
              <w:pStyle w:val="Compact"/>
            </w:pPr>
            <w:r>
              <w:t xml:space="preserve">Ответ ≤1 час</w:t>
            </w:r>
          </w:p>
        </w:tc>
        <w:tc>
          <w:tcPr>
            <w:tcW w:w="3502" w:type="dxa"/>
          </w:tcPr>
          <w:tcPr/>
          <w:tcPr>
            <w:tcW w:w="3502" w:type="dxa"/>
          </w:tcPr>
          <w:p>
            <w:pPr>
              <w:pStyle w:val="Compact"/>
            </w:pPr>
            <w:r>
              <w:t xml:space="preserve">Клиентская поддержка</w:t>
            </w:r>
          </w:p>
        </w:tc>
      </w:tr>
      <w:tr>
        <w:tc>
          <w:tcPr>
            <w:tcW w:w="2464" w:type="dxa"/>
          </w:tcPr>
          <w:tcPr/>
          <w:tcPr>
            <w:tcW w:w="2464" w:type="dxa"/>
          </w:tcPr>
          <w:p>
            <w:pPr>
              <w:pStyle w:val="Compact"/>
            </w:pPr>
            <w:r>
              <w:t xml:space="preserve">24/7</w:t>
            </w:r>
          </w:p>
        </w:tc>
        <w:tc>
          <w:tcPr>
            <w:tcW w:w="1427" w:type="dxa"/>
          </w:tcPr>
          <w:tcPr/>
          <w:tcPr>
            <w:tcW w:w="1427" w:type="dxa"/>
          </w:tcPr>
          <w:p>
            <w:pPr>
              <w:pStyle w:val="Compact"/>
            </w:pPr>
            <w:r>
              <w:t xml:space="preserve">Мессенджеры</w:t>
            </w:r>
          </w:p>
        </w:tc>
        <w:tc>
          <w:tcPr>
            <w:tcW w:w="2205" w:type="dxa"/>
          </w:tcPr>
          <w:tcPr/>
          <w:tcPr>
            <w:tcW w:w="2205" w:type="dxa"/>
          </w:tcPr>
          <w:p>
            <w:pPr>
              <w:pStyle w:val="Compact"/>
            </w:pPr>
            <w:r>
              <w:t xml:space="preserve">Ответ ≤15 мин</w:t>
            </w:r>
          </w:p>
        </w:tc>
        <w:tc>
          <w:tcPr>
            <w:tcW w:w="3502" w:type="dxa"/>
          </w:tcPr>
          <w:tcPr/>
          <w:tcPr>
            <w:tcW w:w="3502" w:type="dxa"/>
          </w:tcPr>
          <w:p>
            <w:pPr>
              <w:pStyle w:val="Compact"/>
            </w:pPr>
            <w:r>
              <w:t xml:space="preserve">24/7</w:t>
            </w:r>
          </w:p>
        </w:tc>
      </w:tr>
      <w:tr>
        <w:tc>
          <w:tcPr>
            <w:tcW w:w="2464" w:type="dxa"/>
          </w:tcPr>
          <w:tcPr/>
          <w:tcPr>
            <w:tcW w:w="2464" w:type="dxa"/>
          </w:tcPr>
          <w:p>
            <w:pPr>
              <w:pStyle w:val="Compact"/>
            </w:pPr>
            <w:r>
              <w:t xml:space="preserve">При проблеме в туре</w:t>
            </w:r>
          </w:p>
        </w:tc>
        <w:tc>
          <w:tcPr>
            <w:tcW w:w="1427" w:type="dxa"/>
          </w:tcPr>
          <w:tcPr/>
          <w:tcPr>
            <w:tcW w:w="1427" w:type="dxa"/>
          </w:tcPr>
          <w:p>
            <w:pPr>
              <w:pStyle w:val="Compact"/>
            </w:pPr>
            <w:r>
              <w:t xml:space="preserve">Любой</w:t>
            </w:r>
          </w:p>
        </w:tc>
        <w:tc>
          <w:tcPr>
            <w:tcW w:w="2205" w:type="dxa"/>
          </w:tcPr>
          <w:tcPr/>
          <w:tcPr>
            <w:tcW w:w="2205" w:type="dxa"/>
          </w:tcPr>
          <w:p>
            <w:pPr>
              <w:pStyle w:val="Compact"/>
            </w:pPr>
            <w:r>
              <w:t xml:space="preserve">Решение ≤2-4 часа</w:t>
            </w:r>
          </w:p>
        </w:tc>
        <w:tc>
          <w:tcPr>
            <w:tcW w:w="3502" w:type="dxa"/>
          </w:tcPr>
          <w:tcPr/>
          <w:tcPr>
            <w:tcW w:w="3502" w:type="dxa"/>
          </w:tcPr>
          <w:p>
            <w:pPr>
              <w:pStyle w:val="Compact"/>
            </w:pPr>
            <w:r>
              <w:t xml:space="preserve">24/7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2026-02-28T17:40:53Z</dcterms:created>
  <dcterms:modified xsi:type="dcterms:W3CDTF">2026-02-28T17:40:53Z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