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p-07-управление-персоналом-hr"/>
    <w:p>
      <w:pPr>
        <w:pStyle w:val="Heading1"/>
      </w:pPr>
      <w:r>
        <w:t xml:space="preserve">BP-07: Управление персоналом (HR)</w:t>
      </w:r>
    </w:p>
    <w:p>
      <w:pPr>
        <w:pStyle w:val="FirstParagraph"/>
      </w:pPr>
      <w:r>
        <w:rPr>
          <w:b/>
          <w:bCs/>
        </w:rPr>
        <w:t xml:space="preserve">Тип процесса:</w:t>
      </w:r>
      <w:r>
        <w:t xml:space="preserve"> </w:t>
      </w:r>
      <w:r>
        <w:t xml:space="preserve">Поддерживающий (Supporting)</w:t>
      </w:r>
      <w:r>
        <w:t xml:space="preserve"> </w:t>
      </w:r>
      <w:r>
        <w:rPr>
          <w:b/>
          <w:bCs/>
        </w:rPr>
        <w:t xml:space="preserve">Код:</w:t>
      </w:r>
      <w:r>
        <w:t xml:space="preserve"> </w:t>
      </w:r>
      <w:r>
        <w:t xml:space="preserve">BP-07</w:t>
      </w:r>
      <w:r>
        <w:t xml:space="preserve"> </w:t>
      </w:r>
      <w:r>
        <w:rPr>
          <w:b/>
          <w:bCs/>
        </w:rPr>
        <w:t xml:space="preserve">Владелец:</w:t>
      </w:r>
      <w:r>
        <w:t xml:space="preserve"> </w:t>
      </w:r>
      <w:r>
        <w:t xml:space="preserve">Жигалина Юлия Александровна (L1-04)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ВЫСОКИЙ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5 человек</w:t>
      </w:r>
    </w:p>
    <w:p>
      <w:r>
        <w:pict>
          <v:rect style="width:0;height:1.5pt" o:hralign="center" o:hrstd="t" o:hr="t"/>
        </w:pic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Процесс управления персоналом обеспечивает все основные процессы компании квалифицированными кадрами. От качества работы HR зависит укомплектованность штата, скорость адаптации новичков, вовлечённость сотрудников и развитие компетенций.</w:t>
      </w:r>
    </w:p>
    <w:p>
      <w:pPr>
        <w:pStyle w:val="BodyText"/>
      </w:pPr>
      <w:r>
        <w:rPr>
          <w:b/>
          <w:bCs/>
        </w:rPr>
        <w:t xml:space="preserve">Влияние на основные процессы:</w:t>
      </w:r>
      <w:r>
        <w:t xml:space="preserve"> </w:t>
      </w:r>
      <w:r>
        <w:t xml:space="preserve">- BP-01 (Заявки): Качество менеджеров продаж и бронирования</w:t>
      </w:r>
      <w:r>
        <w:t xml:space="preserve"> </w:t>
      </w:r>
      <w:r>
        <w:t xml:space="preserve">- BP-02 (Маркетинг): Наличие специалистов по маркетингу</w:t>
      </w:r>
      <w:r>
        <w:t xml:space="preserve"> </w:t>
      </w:r>
      <w:r>
        <w:t xml:space="preserve">- BP-03 (MICE): Квалификация MICE-менеджеров</w:t>
      </w:r>
      <w:r>
        <w:t xml:space="preserve"> </w:t>
      </w:r>
      <w:r>
        <w:t xml:space="preserve">- BP-05 (Продукт): Компетенции продуктологов и тарификаторов</w:t>
      </w:r>
      <w:r>
        <w:t xml:space="preserve"> </w:t>
      </w:r>
      <w:r>
        <w:t xml:space="preserve">- BP-06 (Поддержка): Качество операторов поддержки</w:t>
      </w:r>
    </w:p>
    <w:p>
      <w:r>
        <w:pict>
          <v:rect style="width:0;height:1.5pt" o:hralign="center" o:hrstd="t" o:hr="t"/>
        </w:pict>
      </w:r>
    </w:p>
    <w:bookmarkEnd w:id="9"/>
    <w:bookmarkStart w:id="10" w:name="цель-процесса"/>
    <w:p>
      <w:pPr>
        <w:pStyle w:val="Heading2"/>
      </w:pPr>
      <w:r>
        <w:t xml:space="preserve">Цель процесса</w:t>
      </w:r>
    </w:p>
    <w:p>
      <w:pPr>
        <w:pStyle w:val="FirstParagraph"/>
      </w:pPr>
      <w:r>
        <w:t xml:space="preserve">Обеспечить укомплектованность персоналом в соответствии с потребностями бизнеса, снизить текучесть персонала, повысить вовлечённость и развить компетенции сотрудников.</w:t>
      </w:r>
    </w:p>
    <w:p>
      <w:r>
        <w:pict>
          <v:rect style="width:0;height:1.5pt" o:hralign="center" o:hrstd="t" o:hr="t"/>
        </w:pict>
      </w:r>
    </w:p>
    <w:bookmarkEnd w:id="10"/>
    <w:bookmarkStart w:id="22" w:name="подпроцессы"/>
    <w:p>
      <w:pPr>
        <w:pStyle w:val="Heading2"/>
      </w:pPr>
      <w:r>
        <w:t xml:space="preserve">Подпроцессы</w:t>
      </w:r>
    </w:p>
    <w:bookmarkStart w:id="11" w:name="планирование-и-подбор-персонала"/>
    <w:p>
      <w:pPr>
        <w:pStyle w:val="Heading3"/>
      </w:pPr>
      <w:r>
        <w:t xml:space="preserve">7.1 Планирование и подбор персонала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p>
      <w:pPr>
        <w:pStyle w:val="BodyText"/>
      </w:pPr>
      <w:r>
        <w:t xml:space="preserve">Процесс начинается с заявки от руководителя, затем заполняется бриф на вакансию, проводится поиск кандидатов, интервью и отбор, после чего формируется оффер и происходит найм.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Высокая зависимость от скорости реакции руководителей</w:t>
      </w:r>
      <w:r>
        <w:t xml:space="preserve"> </w:t>
      </w:r>
      <w:r>
        <w:t xml:space="preserve">- Ошибки в заполнении брифа, нежелание его заполнять</w:t>
      </w:r>
      <w:r>
        <w:t xml:space="preserve"> </w:t>
      </w:r>
      <w:r>
        <w:t xml:space="preserve">- Растягивание сроков заполнения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Автоматизация уже есть</w:t>
      </w:r>
    </w:p>
    <w:p>
      <w:r>
        <w:pict>
          <v:rect style="width:0;height:1.5pt" o:hralign="center" o:hrstd="t" o:hr="t"/>
        </w:pict>
      </w:r>
    </w:p>
    <w:bookmarkEnd w:id="11"/>
    <w:bookmarkStart w:id="12" w:name="адаптация-новых-сотрудников"/>
    <w:p>
      <w:pPr>
        <w:pStyle w:val="Heading3"/>
      </w:pPr>
      <w:r>
        <w:t xml:space="preserve">7.2 Адаптация новых сотрудников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p>
      <w:pPr>
        <w:pStyle w:val="BodyText"/>
      </w:pPr>
      <w:r>
        <w:t xml:space="preserve">Процесс включает: выход на работу, Welcome-встреча, обучение по плану, встречи с руководителем, завершение испытательного срока.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Руководители несвоевременно проводят встречи с новичками</w:t>
      </w:r>
      <w:r>
        <w:t xml:space="preserve"> </w:t>
      </w:r>
      <w:r>
        <w:t xml:space="preserve">- Иногда пропускают встречи с новичками</w:t>
      </w:r>
      <w:r>
        <w:t xml:space="preserve"> </w:t>
      </w:r>
      <w:r>
        <w:t xml:space="preserve">- Зависимость от вовлечённости руководителей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Автоматизация уже есть</w:t>
      </w:r>
    </w:p>
    <w:p>
      <w:r>
        <w:pict>
          <v:rect style="width:0;height:1.5pt" o:hralign="center" o:hrstd="t" o:hr="t"/>
        </w:pict>
      </w:r>
    </w:p>
    <w:bookmarkEnd w:id="12"/>
    <w:bookmarkStart w:id="13" w:name="управление-вовлечённостью-и-enps"/>
    <w:p>
      <w:pPr>
        <w:pStyle w:val="Heading3"/>
      </w:pPr>
      <w:r>
        <w:t xml:space="preserve">7.3 Управление вовлечённостью и eNPS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Средне-высокая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5 (весь HR)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Отсутствует единый план</w:t>
      </w:r>
    </w:p>
    <w:p>
      <w:pPr>
        <w:pStyle w:val="BodyText"/>
      </w:pPr>
      <w:r>
        <w:t xml:space="preserve">Процесс включает: проведение опросов, сбор данных, анализ результатов, формирование планов улучшений, реализация и контроль.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Сложность анализа данных (разные источники)</w:t>
      </w:r>
      <w:r>
        <w:t xml:space="preserve"> </w:t>
      </w:r>
      <w:r>
        <w:t xml:space="preserve">- Ручной сбор и обработка данных</w:t>
      </w:r>
      <w:r>
        <w:t xml:space="preserve"> </w:t>
      </w:r>
      <w:r>
        <w:t xml:space="preserve">- Трудности с реализацией планов улучшений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Требуется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43"/>
        <w:gridCol w:w="2504"/>
        <w:gridCol w:w="3652"/>
        <w:gridCol w:w="2400"/>
      </w:tblGrid>
      <w:tr>
        <w:trPr>
          <w:tblHeader w:val="on"/>
        </w:trPr>
        <w:tc>
          <w:tcPr>
            <w:tcW w:w="104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4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50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0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365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65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043" w:type="dxa"/>
          </w:tcPr>
          <w:tcPr/>
          <w:tcPr>
            <w:tcW w:w="1043" w:type="dxa"/>
          </w:tcPr>
          <w:p>
            <w:pPr>
              <w:pStyle w:val="Compact"/>
            </w:pPr>
            <w:r>
              <w:t xml:space="preserve">AUTO-HR-01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Единая платформа опросов</w:t>
            </w:r>
          </w:p>
        </w:tc>
        <w:tc>
          <w:tcPr>
            <w:tcW w:w="3652" w:type="dxa"/>
          </w:tcPr>
          <w:tcPr/>
          <w:tcPr>
            <w:tcW w:w="3652" w:type="dxa"/>
          </w:tcPr>
          <w:p>
            <w:pPr>
              <w:pStyle w:val="Compact"/>
            </w:pPr>
            <w:r>
              <w:t xml:space="preserve">Автоматический сбор и анализ данных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Управляемость, динамика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9461528b531e22b7b80a7ef8f254cc63c77ef57"/>
    <w:p>
      <w:pPr>
        <w:pStyle w:val="Heading3"/>
      </w:pPr>
      <w:r>
        <w:t xml:space="preserve">7.4 Внутренние коммуникации и корпоративная культура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HR + все руководители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Нет</w:t>
      </w:r>
    </w:p>
    <w:p>
      <w:pPr>
        <w:pStyle w:val="BodyText"/>
      </w:pPr>
      <w:r>
        <w:t xml:space="preserve">Процесс включает: формирование контента, публикация по каналам, сбор обратной связи, корректировка.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Разрозненные каналы коммуникаций</w:t>
      </w:r>
      <w:r>
        <w:t xml:space="preserve"> </w:t>
      </w:r>
      <w:r>
        <w:t xml:space="preserve">- Недостаточная информированность сотрудников</w:t>
      </w:r>
      <w:r>
        <w:t xml:space="preserve"> </w:t>
      </w:r>
      <w:r>
        <w:t xml:space="preserve">- Слабая управляемость корпоративной культуры</w:t>
      </w:r>
      <w:r>
        <w:t xml:space="preserve"> </w:t>
      </w:r>
      <w:r>
        <w:t xml:space="preserve">- Высокая доля ручной работы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Не требуется (опросы автоматизированы)</w:t>
      </w:r>
    </w:p>
    <w:p>
      <w:r>
        <w:pict>
          <v:rect style="width:0;height:1.5pt" o:hralign="center" o:hrstd="t" o:hr="t"/>
        </w:pict>
      </w:r>
    </w:p>
    <w:bookmarkEnd w:id="14"/>
    <w:bookmarkStart w:id="15" w:name="обучение-и-развитие-персонала"/>
    <w:p>
      <w:pPr>
        <w:pStyle w:val="Heading3"/>
      </w:pPr>
      <w:r>
        <w:t xml:space="preserve">7.5 Обучение и развитие персонала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Средне-высокая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Бизнес-тренер + все сотрудники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Нет</w:t>
      </w:r>
    </w:p>
    <w:p>
      <w:pPr>
        <w:pStyle w:val="BodyText"/>
      </w:pPr>
      <w:r>
        <w:t xml:space="preserve">Процесс включает: анализ потребностей, формирование программы, проведение обучения, оценка эффективности, коррекция ИПР.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Сложность оценки эффективности обучения</w:t>
      </w:r>
      <w:r>
        <w:t xml:space="preserve"> </w:t>
      </w:r>
      <w:r>
        <w:t xml:space="preserve">- Ручной учёт и аналитика</w:t>
      </w:r>
      <w:r>
        <w:t xml:space="preserve"> </w:t>
      </w:r>
      <w:r>
        <w:t xml:space="preserve">- Отсутствие данных о реальном качестве работы сотрудников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Требуется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950"/>
        <w:gridCol w:w="3231"/>
        <w:gridCol w:w="2661"/>
        <w:gridCol w:w="2756"/>
      </w:tblGrid>
      <w:tr>
        <w:trPr>
          <w:tblHeader w:val="on"/>
        </w:trPr>
        <w:tc>
          <w:tcPr>
            <w:tcW w:w="95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95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323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3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266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6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75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75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950" w:type="dxa"/>
          </w:tcPr>
          <w:tcPr/>
          <w:tcPr>
            <w:tcW w:w="950" w:type="dxa"/>
          </w:tcPr>
          <w:p>
            <w:pPr>
              <w:pStyle w:val="Compact"/>
            </w:pPr>
            <w:r>
              <w:t xml:space="preserve">AUTO-HR-02</w:t>
            </w:r>
          </w:p>
        </w:tc>
        <w:tc>
          <w:tcPr>
            <w:tcW w:w="3231" w:type="dxa"/>
          </w:tcPr>
          <w:tcPr/>
          <w:tcPr>
            <w:tcW w:w="3231" w:type="dxa"/>
          </w:tcPr>
          <w:p>
            <w:pPr>
              <w:pStyle w:val="Compact"/>
            </w:pPr>
            <w:r>
              <w:t xml:space="preserve">LMS-система</w:t>
            </w:r>
          </w:p>
        </w:tc>
        <w:tc>
          <w:tcPr>
            <w:tcW w:w="2661" w:type="dxa"/>
          </w:tcPr>
          <w:tcPr/>
          <w:tcPr>
            <w:tcW w:w="2661" w:type="dxa"/>
          </w:tcPr>
          <w:p>
            <w:pPr>
              <w:pStyle w:val="Compact"/>
            </w:pPr>
            <w:r>
              <w:t xml:space="preserve">Автоматический учёт обучения</w:t>
            </w:r>
          </w:p>
        </w:tc>
        <w:tc>
          <w:tcPr>
            <w:tcW w:w="2756" w:type="dxa"/>
          </w:tcPr>
          <w:tcPr/>
          <w:tcPr>
            <w:tcW w:w="2756" w:type="dxa"/>
          </w:tcPr>
          <w:p>
            <w:pPr>
              <w:pStyle w:val="Compact"/>
            </w:pPr>
            <w:r>
              <w:t xml:space="preserve">Прозрачность, оценка ROI</w:t>
            </w:r>
          </w:p>
        </w:tc>
      </w:tr>
      <w:tr>
        <w:tc>
          <w:tcPr>
            <w:tcW w:w="950" w:type="dxa"/>
          </w:tcPr>
          <w:tcPr/>
          <w:tcPr>
            <w:tcW w:w="950" w:type="dxa"/>
          </w:tcPr>
          <w:p>
            <w:pPr>
              <w:pStyle w:val="Compact"/>
            </w:pPr>
            <w:r>
              <w:t xml:space="preserve">AUTO-HR-03</w:t>
            </w:r>
          </w:p>
        </w:tc>
        <w:tc>
          <w:tcPr>
            <w:tcW w:w="3231" w:type="dxa"/>
          </w:tcPr>
          <w:tcPr/>
          <w:tcPr>
            <w:tcW w:w="3231" w:type="dxa"/>
          </w:tcPr>
          <w:p>
            <w:pPr>
              <w:pStyle w:val="Compact"/>
            </w:pPr>
            <w:r>
              <w:t xml:space="preserve">Интеграция данных качества звонков</w:t>
            </w:r>
          </w:p>
        </w:tc>
        <w:tc>
          <w:tcPr>
            <w:tcW w:w="2661" w:type="dxa"/>
          </w:tcPr>
          <w:tcPr/>
          <w:tcPr>
            <w:tcW w:w="2661" w:type="dxa"/>
          </w:tcPr>
          <w:p>
            <w:pPr>
              <w:pStyle w:val="Compact"/>
            </w:pPr>
            <w:r>
              <w:t xml:space="preserve">Приём отчётов из AUTO-SUP-03</w:t>
            </w:r>
          </w:p>
        </w:tc>
        <w:tc>
          <w:tcPr>
            <w:tcW w:w="2756" w:type="dxa"/>
          </w:tcPr>
          <w:tcPr/>
          <w:tcPr>
            <w:tcW w:w="2756" w:type="dxa"/>
          </w:tcPr>
          <w:p>
            <w:pPr>
              <w:pStyle w:val="Compact"/>
            </w:pPr>
            <w:r>
              <w:t xml:space="preserve">Целевое обучение, измеримость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Xb97a5afb9ed9f2db41eed012ac0fade5f58e3b1"/>
    <w:p>
      <w:pPr>
        <w:pStyle w:val="Heading3"/>
      </w:pPr>
      <w:r>
        <w:t xml:space="preserve">7.5.1 Интеграция с контролем качества звонков (AUTO-HR-03)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AUTO-SUP-03 (ИИ-анализ качества звонков из BP-06)</w:t>
      </w:r>
    </w:p>
    <w:bookmarkStart w:id="16" w:name="X428f1db08f27241df350f03d71835a20aa78935"/>
    <w:p>
      <w:pPr>
        <w:pStyle w:val="Heading4"/>
      </w:pPr>
      <w:r>
        <w:t xml:space="preserve">Входящие данные от BP-06 (Клиентская поддержка)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96"/>
        <w:gridCol w:w="1986"/>
        <w:gridCol w:w="5517"/>
      </w:tblGrid>
      <w:tr>
        <w:trPr>
          <w:tblHeader w:val="on"/>
        </w:trPr>
        <w:tc>
          <w:tcPr>
            <w:tcW w:w="209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9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 данных</w:t>
            </w:r>
          </w:p>
        </w:tc>
        <w:tc>
          <w:tcPr>
            <w:tcW w:w="198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8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Периодичность</w:t>
            </w:r>
          </w:p>
        </w:tc>
        <w:tc>
          <w:tcPr>
            <w:tcW w:w="551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51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>
            <w:tcW w:w="2096" w:type="dxa"/>
          </w:tcPr>
          <w:tcPr/>
          <w:tcPr>
            <w:tcW w:w="209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Еженедельный отчёт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Каждый понедельник</w:t>
            </w:r>
          </w:p>
        </w:tc>
        <w:tc>
          <w:tcPr>
            <w:tcW w:w="5517" w:type="dxa"/>
          </w:tcPr>
          <w:tcPr/>
          <w:tcPr>
            <w:tcW w:w="5517" w:type="dxa"/>
          </w:tcPr>
          <w:p>
            <w:pPr>
              <w:pStyle w:val="Compact"/>
            </w:pPr>
            <w:r>
              <w:t xml:space="preserve">Сводка оценок по 6 критериям качества</w:t>
            </w:r>
          </w:p>
        </w:tc>
      </w:tr>
      <w:tr>
        <w:tc>
          <w:tcPr>
            <w:tcW w:w="2096" w:type="dxa"/>
          </w:tcPr>
          <w:tcPr/>
          <w:tcPr>
            <w:tcW w:w="209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Рейтинг сотрудников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  <w:tc>
          <w:tcPr>
            <w:tcW w:w="5517" w:type="dxa"/>
          </w:tcPr>
          <w:tcPr/>
          <w:tcPr>
            <w:tcW w:w="5517" w:type="dxa"/>
          </w:tcPr>
          <w:p>
            <w:pPr>
              <w:pStyle w:val="Compact"/>
            </w:pPr>
            <w:r>
              <w:t xml:space="preserve">Оценки каждого оператора с динамикой</w:t>
            </w:r>
          </w:p>
        </w:tc>
      </w:tr>
      <w:tr>
        <w:tc>
          <w:tcPr>
            <w:tcW w:w="2096" w:type="dxa"/>
          </w:tcPr>
          <w:tcPr/>
          <w:tcPr>
            <w:tcW w:w="209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ТОП-3 проблемы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  <w:tc>
          <w:tcPr>
            <w:tcW w:w="5517" w:type="dxa"/>
          </w:tcPr>
          <w:tcPr/>
          <w:tcPr>
            <w:tcW w:w="5517" w:type="dxa"/>
          </w:tcPr>
          <w:p>
            <w:pPr>
              <w:pStyle w:val="Compact"/>
            </w:pPr>
            <w:r>
              <w:t xml:space="preserve">Наиболее частые нарушения стандартов</w:t>
            </w:r>
          </w:p>
        </w:tc>
      </w:tr>
      <w:tr>
        <w:tc>
          <w:tcPr>
            <w:tcW w:w="2096" w:type="dxa"/>
          </w:tcPr>
          <w:tcPr/>
          <w:tcPr>
            <w:tcW w:w="209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Красные флаги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Немедленно</w:t>
            </w:r>
          </w:p>
        </w:tc>
        <w:tc>
          <w:tcPr>
            <w:tcW w:w="5517" w:type="dxa"/>
          </w:tcPr>
          <w:tcPr/>
          <w:tcPr>
            <w:tcW w:w="5517" w:type="dxa"/>
          </w:tcPr>
          <w:p>
            <w:pPr>
              <w:pStyle w:val="Compact"/>
            </w:pPr>
            <w:r>
              <w:t xml:space="preserve">Сотрудники с критически низкими оценками (&lt;50%)</w:t>
            </w:r>
          </w:p>
        </w:tc>
      </w:tr>
      <w:tr>
        <w:tc>
          <w:tcPr>
            <w:tcW w:w="2096" w:type="dxa"/>
          </w:tcPr>
          <w:tcPr/>
          <w:tcPr>
            <w:tcW w:w="209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Лучшие практики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  <w:tc>
          <w:tcPr>
            <w:tcW w:w="5517" w:type="dxa"/>
          </w:tcPr>
          <w:tcPr/>
          <w:tcPr>
            <w:tcW w:w="5517" w:type="dxa"/>
          </w:tcPr>
          <w:p>
            <w:pPr>
              <w:pStyle w:val="Compact"/>
            </w:pPr>
            <w:r>
              <w:t xml:space="preserve">Примеры отличных звонков для обучения</w:t>
            </w:r>
          </w:p>
        </w:tc>
      </w:tr>
    </w:tbl>
    <w:bookmarkEnd w:id="16"/>
    <w:bookmarkStart w:id="17" w:name="критерии-оценки-звонков-из-auto-sup-03"/>
    <w:p>
      <w:pPr>
        <w:pStyle w:val="Heading4"/>
      </w:pPr>
      <w:r>
        <w:t xml:space="preserve">Критерии оценки звонков (из AUTO-SUP-03)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72"/>
        <w:gridCol w:w="768"/>
        <w:gridCol w:w="5760"/>
      </w:tblGrid>
      <w:tr>
        <w:trPr>
          <w:tblHeader w:val="on"/>
        </w:trPr>
        <w:tc>
          <w:tcPr>
            <w:tcW w:w="307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7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6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Вес</w:t>
            </w:r>
          </w:p>
        </w:tc>
        <w:tc>
          <w:tcPr>
            <w:tcW w:w="576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76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Фокус обучения при низкой оценке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1. Приветствие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Скрипты, стандарты коммуникации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2. Выявление потребности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Техники задавания вопросов, активное слушание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3. Компетентность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Знание продукта, работа в системах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4. Решение вопроса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Принятие решений, эскалация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5. Завершение разговора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Стандарты завершения, кросс-продажи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6. Время разговора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Тайм-менеджмент, эффективность</w:t>
            </w:r>
          </w:p>
        </w:tc>
      </w:tr>
    </w:tbl>
    <w:bookmarkEnd w:id="17"/>
    <w:bookmarkStart w:id="18" w:name="процесс-использования-данных"/>
    <w:p>
      <w:pPr>
        <w:pStyle w:val="Heading4"/>
      </w:pPr>
      <w:r>
        <w:t xml:space="preserve">Процесс использования данных</w:t>
      </w:r>
    </w:p>
    <w:p>
      <w:pPr>
        <w:pStyle w:val="FirstParagraph"/>
      </w:pPr>
      <w:r>
        <w:t xml:space="preserve">Цикл обучения на основе данных качества состоит из четырёх этапов: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Приём и анализ</w:t>
      </w:r>
      <w:r>
        <w:t xml:space="preserve"> </w:t>
      </w:r>
      <w:r>
        <w:t xml:space="preserve">— загрузка еженедельного отчёта, сравнение с прошлым периодом, выявление тенденций.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Планирование обучения</w:t>
      </w:r>
      <w:r>
        <w:t xml:space="preserve"> </w:t>
      </w:r>
      <w:r>
        <w:t xml:space="preserve">— определение групп по проблемам, формирование ИПР для сотрудников с низкими оценками, подготовка материалов.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Проведение обучения</w:t>
      </w:r>
      <w:r>
        <w:t xml:space="preserve"> </w:t>
      </w:r>
      <w:r>
        <w:t xml:space="preserve">— групповые тренинги, индивидуальные сессии, разбор лучших практик.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Измерение эффективности</w:t>
      </w:r>
      <w:r>
        <w:t xml:space="preserve"> </w:t>
      </w:r>
      <w:r>
        <w:t xml:space="preserve">— сравнение оценок до/после, отчёт руководству, корректировка программы.</w:t>
      </w:r>
    </w:p>
    <w:bookmarkEnd w:id="18"/>
    <w:bookmarkStart w:id="19" w:name="форматы-обучения-по-типам-проблем"/>
    <w:p>
      <w:pPr>
        <w:pStyle w:val="Heading4"/>
      </w:pPr>
      <w:r>
        <w:t xml:space="preserve">Форматы обучения по типам проблем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809"/>
        <w:gridCol w:w="4917"/>
        <w:gridCol w:w="1873"/>
      </w:tblGrid>
      <w:tr>
        <w:trPr>
          <w:tblHeader w:val="on"/>
        </w:trPr>
        <w:tc>
          <w:tcPr>
            <w:tcW w:w="28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 (по критерию)</w:t>
            </w:r>
          </w:p>
        </w:tc>
        <w:tc>
          <w:tcPr>
            <w:tcW w:w="491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91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Формат обучения</w:t>
            </w:r>
          </w:p>
        </w:tc>
        <w:tc>
          <w:tcPr>
            <w:tcW w:w="18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Приветствие / Завершение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Групповой тренинг «Стандарты коммуникации»</w:t>
            </w:r>
          </w:p>
        </w:tc>
        <w:tc>
          <w:tcPr>
            <w:tcW w:w="1873" w:type="dxa"/>
          </w:tcPr>
          <w:tcPr/>
          <w:tcPr>
            <w:tcW w:w="1873" w:type="dxa"/>
          </w:tcPr>
          <w:p>
            <w:pPr>
              <w:pStyle w:val="Compact"/>
            </w:pPr>
            <w:r>
              <w:t xml:space="preserve">1 раз / квартал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Выявление потребности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Ролевые игры, разбор кейсов</w:t>
            </w:r>
          </w:p>
        </w:tc>
        <w:tc>
          <w:tcPr>
            <w:tcW w:w="1873" w:type="dxa"/>
          </w:tcPr>
          <w:tcPr/>
          <w:tcPr>
            <w:tcW w:w="1873" w:type="dxa"/>
          </w:tcPr>
          <w:p>
            <w:pPr>
              <w:pStyle w:val="Compact"/>
            </w:pPr>
            <w:r>
              <w:t xml:space="preserve">2 раза / месяц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Компетентность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Продуктовое обучение, тест</w:t>
            </w:r>
          </w:p>
        </w:tc>
        <w:tc>
          <w:tcPr>
            <w:tcW w:w="1873" w:type="dxa"/>
          </w:tcPr>
          <w:tcPr/>
          <w:tcPr>
            <w:tcW w:w="1873" w:type="dxa"/>
          </w:tcPr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Решение вопроса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Мастер-класс «Принятие решений»</w:t>
            </w:r>
          </w:p>
        </w:tc>
        <w:tc>
          <w:tcPr>
            <w:tcW w:w="1873" w:type="dxa"/>
          </w:tcPr>
          <w:tcPr/>
          <w:tcPr>
            <w:tcW w:w="1873" w:type="dxa"/>
          </w:tcPr>
          <w:p>
            <w:pPr>
              <w:pStyle w:val="Compact"/>
            </w:pPr>
            <w:r>
              <w:t xml:space="preserve">1 раз / месяц</w:t>
            </w:r>
          </w:p>
        </w:tc>
      </w:tr>
      <w:tr>
        <w:tc>
          <w:tcPr>
            <w:tcW w:w="2809" w:type="dxa"/>
          </w:tcPr>
          <w:tcPr/>
          <w:tcPr>
            <w:tcW w:w="2809" w:type="dxa"/>
          </w:tcPr>
          <w:p>
            <w:pPr>
              <w:pStyle w:val="Compact"/>
            </w:pPr>
            <w:r>
              <w:t xml:space="preserve">Время разговора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Индивидуальный коучинг</w:t>
            </w:r>
          </w:p>
        </w:tc>
        <w:tc>
          <w:tcPr>
            <w:tcW w:w="1873" w:type="dxa"/>
          </w:tcPr>
          <w:tcPr/>
          <w:tcPr>
            <w:tcW w:w="1873" w:type="dxa"/>
          </w:tcPr>
          <w:p>
            <w:pPr>
              <w:pStyle w:val="Compact"/>
            </w:pPr>
            <w:r>
              <w:t xml:space="preserve">По необходимости</w:t>
            </w:r>
          </w:p>
        </w:tc>
      </w:tr>
    </w:tbl>
    <w:bookmarkEnd w:id="19"/>
    <w:bookmarkStart w:id="20" w:name="ожидаемый-эффект-интеграции"/>
    <w:p>
      <w:pPr>
        <w:pStyle w:val="Heading4"/>
      </w:pPr>
      <w:r>
        <w:t xml:space="preserve">Ожидаемый эффект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181"/>
        <w:gridCol w:w="1980"/>
        <w:gridCol w:w="2438"/>
      </w:tblGrid>
      <w:tr>
        <w:trPr>
          <w:tblHeader w:val="on"/>
        </w:trPr>
        <w:tc>
          <w:tcPr>
            <w:tcW w:w="518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18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До интеграции</w:t>
            </w:r>
          </w:p>
        </w:tc>
        <w:tc>
          <w:tcPr>
            <w:tcW w:w="243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3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После интеграции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Время планирования обучения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2-3 дня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2-4 часа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Точность определения потребностей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Субъективная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На основе данных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Измеримость эффективности обучения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Есть (до/после)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Охват проблемных сотрудников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~30%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Скорость реакции на проблемы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2-4 недели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1 неделя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kpi-процесса"/>
    <w:p>
      <w:pPr>
        <w:pStyle w:val="Heading2"/>
      </w:pPr>
      <w:r>
        <w:t xml:space="preserve">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67"/>
        <w:gridCol w:w="1301"/>
        <w:gridCol w:w="1627"/>
        <w:gridCol w:w="2603"/>
      </w:tblGrid>
      <w:tr>
        <w:trPr>
          <w:tblHeader w:val="on"/>
        </w:trPr>
        <w:tc>
          <w:tcPr>
            <w:tcW w:w="406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6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30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0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6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60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0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4067" w:type="dxa"/>
          </w:tcPr>
          <w:tcPr/>
          <w:tcPr>
            <w:tcW w:w="4067" w:type="dxa"/>
          </w:tcPr>
          <w:p>
            <w:pPr>
              <w:pStyle w:val="Compact"/>
            </w:pPr>
            <w:r>
              <w:t xml:space="preserve">Срок закрытия вакансии</w:t>
            </w:r>
          </w:p>
        </w:tc>
        <w:tc>
          <w:tcPr>
            <w:tcW w:w="1301" w:type="dxa"/>
          </w:tcPr>
          <w:tcPr/>
          <w:tcPr>
            <w:tcW w:w="1301" w:type="dxa"/>
          </w:tcPr>
          <w:p>
            <w:pPr>
              <w:pStyle w:val="Compact"/>
            </w:pPr>
            <w:r>
              <w:t xml:space="preserve">≤30 дней</w:t>
            </w:r>
          </w:p>
        </w:tc>
        <w:tc>
          <w:tcPr>
            <w:tcW w:w="1627" w:type="dxa"/>
          </w:tcPr>
          <w:tcPr/>
          <w:tcPr>
            <w:tcW w:w="1627" w:type="dxa"/>
          </w:tcPr>
          <w:p>
            <w:pPr>
              <w:pStyle w:val="Compact"/>
            </w:pPr>
            <w:r>
              <w:t xml:space="preserve">~45 дней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067" w:type="dxa"/>
          </w:tcPr>
          <w:tcPr/>
          <w:tcPr>
            <w:tcW w:w="4067" w:type="dxa"/>
          </w:tcPr>
          <w:p>
            <w:pPr>
              <w:pStyle w:val="Compact"/>
            </w:pPr>
            <w:r>
              <w:t xml:space="preserve">Текучесть общая</w:t>
            </w:r>
          </w:p>
        </w:tc>
        <w:tc>
          <w:tcPr>
            <w:tcW w:w="1301" w:type="dxa"/>
          </w:tcPr>
          <w:tcPr/>
          <w:tcPr>
            <w:tcW w:w="1301" w:type="dxa"/>
          </w:tcPr>
          <w:p>
            <w:pPr>
              <w:pStyle w:val="Compact"/>
            </w:pPr>
            <w:r>
              <w:t xml:space="preserve">≤15%</w:t>
            </w:r>
          </w:p>
        </w:tc>
        <w:tc>
          <w:tcPr>
            <w:tcW w:w="1627" w:type="dxa"/>
          </w:tcPr>
          <w:tcPr/>
          <w:tcPr>
            <w:tcW w:w="1627" w:type="dxa"/>
          </w:tcPr>
          <w:p>
            <w:pPr>
              <w:pStyle w:val="Compact"/>
            </w:pPr>
            <w:r>
              <w:t xml:space="preserve">~20%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067" w:type="dxa"/>
          </w:tcPr>
          <w:tcPr/>
          <w:tcPr>
            <w:tcW w:w="4067" w:type="dxa"/>
          </w:tcPr>
          <w:p>
            <w:pPr>
              <w:pStyle w:val="Compact"/>
            </w:pPr>
            <w:r>
              <w:t xml:space="preserve">Текучесть на испыт. сроке</w:t>
            </w:r>
          </w:p>
        </w:tc>
        <w:tc>
          <w:tcPr>
            <w:tcW w:w="1301" w:type="dxa"/>
          </w:tcPr>
          <w:tcPr/>
          <w:tcPr>
            <w:tcW w:w="1301" w:type="dxa"/>
          </w:tcPr>
          <w:p>
            <w:pPr>
              <w:pStyle w:val="Compact"/>
            </w:pPr>
            <w:r>
              <w:t xml:space="preserve">≤10%</w:t>
            </w:r>
          </w:p>
        </w:tc>
        <w:tc>
          <w:tcPr>
            <w:tcW w:w="1627" w:type="dxa"/>
          </w:tcPr>
          <w:tcPr/>
          <w:tcPr>
            <w:tcW w:w="1627" w:type="dxa"/>
          </w:tcPr>
          <w:p>
            <w:pPr>
              <w:pStyle w:val="Compact"/>
            </w:pPr>
            <w:r>
              <w:t xml:space="preserve">~15%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067" w:type="dxa"/>
          </w:tcPr>
          <w:tcPr/>
          <w:tcPr>
            <w:tcW w:w="4067" w:type="dxa"/>
          </w:tcPr>
          <w:p>
            <w:pPr>
              <w:pStyle w:val="Compact"/>
            </w:pPr>
            <w:r>
              <w:t xml:space="preserve">eNPS</w:t>
            </w:r>
          </w:p>
        </w:tc>
        <w:tc>
          <w:tcPr>
            <w:tcW w:w="1301" w:type="dxa"/>
          </w:tcPr>
          <w:tcPr/>
          <w:tcPr>
            <w:tcW w:w="1301" w:type="dxa"/>
          </w:tcPr>
          <w:p>
            <w:pPr>
              <w:pStyle w:val="Compact"/>
            </w:pPr>
            <w:r>
              <w:t xml:space="preserve">≥+30</w:t>
            </w:r>
          </w:p>
        </w:tc>
        <w:tc>
          <w:tcPr>
            <w:tcW w:w="1627" w:type="dxa"/>
          </w:tcPr>
          <w:tcPr/>
          <w:tcPr>
            <w:tcW w:w="1627" w:type="dxa"/>
          </w:tcPr>
          <w:p>
            <w:pPr>
              <w:pStyle w:val="Compact"/>
            </w:pPr>
            <w:r>
              <w:t xml:space="preserve">Нет данных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Нет данных</w:t>
            </w:r>
          </w:p>
        </w:tc>
      </w:tr>
      <w:tr>
        <w:tc>
          <w:tcPr>
            <w:tcW w:w="4067" w:type="dxa"/>
          </w:tcPr>
          <w:tcPr/>
          <w:tcPr>
            <w:tcW w:w="4067" w:type="dxa"/>
          </w:tcPr>
          <w:p>
            <w:pPr>
              <w:pStyle w:val="Compact"/>
            </w:pPr>
            <w:r>
              <w:t xml:space="preserve">Охват обучением</w:t>
            </w:r>
          </w:p>
        </w:tc>
        <w:tc>
          <w:tcPr>
            <w:tcW w:w="1301" w:type="dxa"/>
          </w:tcPr>
          <w:tcPr/>
          <w:tcPr>
            <w:tcW w:w="1301" w:type="dxa"/>
          </w:tcPr>
          <w:p>
            <w:pPr>
              <w:pStyle w:val="Compact"/>
            </w:pPr>
            <w:r>
              <w:t xml:space="preserve">≥80%</w:t>
            </w:r>
          </w:p>
        </w:tc>
        <w:tc>
          <w:tcPr>
            <w:tcW w:w="1627" w:type="dxa"/>
          </w:tcPr>
          <w:tcPr/>
          <w:tcPr>
            <w:tcW w:w="1627" w:type="dxa"/>
          </w:tcPr>
          <w:p>
            <w:pPr>
              <w:pStyle w:val="Compact"/>
            </w:pPr>
            <w:r>
              <w:t xml:space="preserve">~60%</w:t>
            </w:r>
          </w:p>
        </w:tc>
        <w:tc>
          <w:tcPr>
            <w:tcW w:w="2603" w:type="dxa"/>
          </w:tcPr>
          <w:tcPr/>
          <w:tcPr>
            <w:tcW w:w="2603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связь-с-основными-процессами"/>
    <w:p>
      <w:pPr>
        <w:pStyle w:val="Heading2"/>
      </w:pPr>
      <w:r>
        <w:t xml:space="preserve">Связь с основными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854"/>
        <w:gridCol w:w="5127"/>
        <w:gridCol w:w="2618"/>
      </w:tblGrid>
      <w:tr>
        <w:trPr>
          <w:tblHeader w:val="on"/>
        </w:trPr>
        <w:tc>
          <w:tcPr>
            <w:tcW w:w="18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Основной процесс</w:t>
            </w:r>
          </w:p>
        </w:tc>
        <w:tc>
          <w:tcPr>
            <w:tcW w:w="51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1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Как влияет HR</w:t>
            </w:r>
          </w:p>
        </w:tc>
        <w:tc>
          <w:tcPr>
            <w:tcW w:w="261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1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Интеграция данных</w:t>
            </w:r>
          </w:p>
        </w:tc>
      </w:tr>
      <w:tr>
        <w:tc>
          <w:tcPr>
            <w:tcW w:w="1854" w:type="dxa"/>
          </w:tcPr>
          <w:tcPr/>
          <w:tcPr>
            <w:tcW w:w="1854" w:type="dxa"/>
          </w:tcPr>
          <w:p>
            <w:pPr>
              <w:pStyle w:val="Compact"/>
            </w:pPr>
            <w:r>
              <w:t xml:space="preserve">BP-01 (Заявки)</w:t>
            </w:r>
          </w:p>
        </w:tc>
        <w:tc>
          <w:tcPr>
            <w:tcW w:w="5127" w:type="dxa"/>
          </w:tcPr>
          <w:tcPr/>
          <w:tcPr>
            <w:tcW w:w="5127" w:type="dxa"/>
          </w:tcPr>
          <w:p>
            <w:pPr>
              <w:pStyle w:val="Compact"/>
            </w:pPr>
            <w:r>
              <w:t xml:space="preserve">Качество менеджеров → конверсия, ошибки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4" w:type="dxa"/>
          </w:tcPr>
          <w:tcPr/>
          <w:tcPr>
            <w:tcW w:w="1854" w:type="dxa"/>
          </w:tcPr>
          <w:p>
            <w:pPr>
              <w:pStyle w:val="Compact"/>
            </w:pPr>
            <w:r>
              <w:t xml:space="preserve">BP-02 (Маркетинг)</w:t>
            </w:r>
          </w:p>
        </w:tc>
        <w:tc>
          <w:tcPr>
            <w:tcW w:w="5127" w:type="dxa"/>
          </w:tcPr>
          <w:tcPr/>
          <w:tcPr>
            <w:tcW w:w="5127" w:type="dxa"/>
          </w:tcPr>
          <w:p>
            <w:pPr>
              <w:pStyle w:val="Compact"/>
            </w:pPr>
            <w:r>
              <w:t xml:space="preserve">Наличие маркетологов → темп кампаний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4" w:type="dxa"/>
          </w:tcPr>
          <w:tcPr/>
          <w:tcPr>
            <w:tcW w:w="1854" w:type="dxa"/>
          </w:tcPr>
          <w:p>
            <w:pPr>
              <w:pStyle w:val="Compact"/>
            </w:pPr>
            <w:r>
              <w:t xml:space="preserve">BP-03 (MICE)</w:t>
            </w:r>
          </w:p>
        </w:tc>
        <w:tc>
          <w:tcPr>
            <w:tcW w:w="5127" w:type="dxa"/>
          </w:tcPr>
          <w:tcPr/>
          <w:tcPr>
            <w:tcW w:w="5127" w:type="dxa"/>
          </w:tcPr>
          <w:p>
            <w:pPr>
              <w:pStyle w:val="Compact"/>
            </w:pPr>
            <w:r>
              <w:t xml:space="preserve">Квалификация MICE-менеджеров → конверсия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4" w:type="dxa"/>
          </w:tcPr>
          <w:tcPr/>
          <w:tcPr>
            <w:tcW w:w="1854" w:type="dxa"/>
          </w:tcPr>
          <w:p>
            <w:pPr>
              <w:pStyle w:val="Compact"/>
            </w:pPr>
            <w:r>
              <w:t xml:space="preserve">BP-05 (Продукт)</w:t>
            </w:r>
          </w:p>
        </w:tc>
        <w:tc>
          <w:tcPr>
            <w:tcW w:w="5127" w:type="dxa"/>
          </w:tcPr>
          <w:tcPr/>
          <w:tcPr>
            <w:tcW w:w="5127" w:type="dxa"/>
          </w:tcPr>
          <w:p>
            <w:pPr>
              <w:pStyle w:val="Compact"/>
            </w:pPr>
            <w:r>
              <w:t xml:space="preserve">Компетенции тарификаторов → скорость публикации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1854" w:type="dxa"/>
          </w:tcPr>
          <w:tcPr/>
          <w:tcPr>
            <w:tcW w:w="1854" w:type="dxa"/>
          </w:tcPr>
          <w:p>
            <w:pPr>
              <w:pStyle w:val="Compact"/>
            </w:pPr>
            <w:r>
              <w:t xml:space="preserve">BP-06 (Поддержка)</w:t>
            </w:r>
          </w:p>
        </w:tc>
        <w:tc>
          <w:tcPr>
            <w:tcW w:w="5127" w:type="dxa"/>
          </w:tcPr>
          <w:tcPr/>
          <w:tcPr>
            <w:tcW w:w="5127" w:type="dxa"/>
          </w:tcPr>
          <w:p>
            <w:pPr>
              <w:pStyle w:val="Compact"/>
            </w:pPr>
            <w:r>
              <w:t xml:space="preserve">Качество операторов → FCR, CSAT</w:t>
            </w:r>
          </w:p>
        </w:tc>
        <w:tc>
          <w:tcPr>
            <w:tcW w:w="2618" w:type="dxa"/>
          </w:tcPr>
          <w:tcPr/>
          <w:tcPr>
            <w:tcW w:w="26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AUTO-SUP-03 → AUTO-HR-03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точки-автоматизации-сводка"/>
    <w:p>
      <w:pPr>
        <w:pStyle w:val="Heading2"/>
      </w:pPr>
      <w:r>
        <w:t xml:space="preserve">Точки автоматизации (сводка)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454"/>
        <w:gridCol w:w="1890"/>
        <w:gridCol w:w="4946"/>
        <w:gridCol w:w="1309"/>
      </w:tblGrid>
      <w:tr>
        <w:trPr>
          <w:tblHeader w:val="on"/>
        </w:trPr>
        <w:tc>
          <w:tcPr>
            <w:tcW w:w="14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89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9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Подпроцесс</w:t>
            </w:r>
          </w:p>
        </w:tc>
        <w:tc>
          <w:tcPr>
            <w:tcW w:w="494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94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13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AUTO-HR-01</w:t>
            </w:r>
          </w:p>
        </w:tc>
        <w:tc>
          <w:tcPr>
            <w:tcW w:w="1890" w:type="dxa"/>
          </w:tcPr>
          <w:tcPr/>
          <w:tcPr>
            <w:tcW w:w="1890" w:type="dxa"/>
          </w:tcPr>
          <w:p>
            <w:pPr>
              <w:pStyle w:val="Compact"/>
            </w:pPr>
            <w:r>
              <w:t xml:space="preserve">Вовлечённость</w:t>
            </w:r>
          </w:p>
        </w:tc>
        <w:tc>
          <w:tcPr>
            <w:tcW w:w="4946" w:type="dxa"/>
          </w:tcPr>
          <w:tcPr/>
          <w:tcPr>
            <w:tcW w:w="4946" w:type="dxa"/>
          </w:tcPr>
          <w:p>
            <w:pPr>
              <w:pStyle w:val="Compact"/>
            </w:pPr>
            <w:r>
              <w:t xml:space="preserve">Единая платформа опросов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AUTO-HR-02</w:t>
            </w:r>
          </w:p>
        </w:tc>
        <w:tc>
          <w:tcPr>
            <w:tcW w:w="1890" w:type="dxa"/>
          </w:tcPr>
          <w:tcPr/>
          <w:tcPr>
            <w:tcW w:w="1890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4946" w:type="dxa"/>
          </w:tcPr>
          <w:tcPr/>
          <w:tcPr>
            <w:tcW w:w="4946" w:type="dxa"/>
          </w:tcPr>
          <w:p>
            <w:pPr>
              <w:pStyle w:val="Compact"/>
            </w:pPr>
            <w:r>
              <w:t xml:space="preserve">LMS-система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AUTO-HR-03</w:t>
            </w:r>
          </w:p>
        </w:tc>
        <w:tc>
          <w:tcPr>
            <w:tcW w:w="1890" w:type="dxa"/>
          </w:tcPr>
          <w:tcPr/>
          <w:tcPr>
            <w:tcW w:w="1890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4946" w:type="dxa"/>
          </w:tcPr>
          <w:tcPr/>
          <w:tcPr>
            <w:tcW w:w="4946" w:type="dxa"/>
          </w:tcPr>
          <w:p>
            <w:pPr>
              <w:pStyle w:val="Compact"/>
            </w:pPr>
            <w:r>
              <w:t xml:space="preserve">Интеграция данных качества звонков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рекомендации"/>
    <w:p>
      <w:pPr>
        <w:pStyle w:val="Heading2"/>
      </w:pPr>
      <w:r>
        <w:t xml:space="preserve">Рекомендации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16"/>
        <w:gridCol w:w="4856"/>
        <w:gridCol w:w="3727"/>
      </w:tblGrid>
      <w:tr>
        <w:trPr>
          <w:tblHeader w:val="on"/>
        </w:trPr>
        <w:tc>
          <w:tcPr>
            <w:tcW w:w="101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1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85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85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Рекомендация</w:t>
            </w:r>
          </w:p>
        </w:tc>
        <w:tc>
          <w:tcPr>
            <w:tcW w:w="37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7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016" w:type="dxa"/>
          </w:tcPr>
          <w:tcPr/>
          <w:tcPr>
            <w:tcW w:w="1016" w:type="dxa"/>
          </w:tcPr>
          <w:p>
            <w:pPr>
              <w:pStyle w:val="Compact"/>
            </w:pPr>
            <w:r>
              <w:t xml:space="preserve">Высокий</w:t>
            </w:r>
          </w:p>
        </w:tc>
        <w:tc>
          <w:tcPr>
            <w:tcW w:w="4856" w:type="dxa"/>
          </w:tcPr>
          <w:tcPr/>
          <w:tcPr>
            <w:tcW w:w="4856" w:type="dxa"/>
          </w:tcPr>
          <w:p>
            <w:pPr>
              <w:pStyle w:val="Compact"/>
            </w:pPr>
            <w:r>
              <w:t xml:space="preserve">Внедрить регламент планов улучшений по eNPS</w:t>
            </w:r>
          </w:p>
        </w:tc>
        <w:tc>
          <w:tcPr>
            <w:tcW w:w="3727" w:type="dxa"/>
          </w:tcPr>
          <w:tcPr/>
          <w:tcPr>
            <w:tcW w:w="3727" w:type="dxa"/>
          </w:tcPr>
          <w:p>
            <w:pPr>
              <w:pStyle w:val="Compact"/>
            </w:pPr>
            <w:r>
              <w:t xml:space="preserve">Управляемость культуры</w:t>
            </w:r>
          </w:p>
        </w:tc>
      </w:tr>
      <w:tr>
        <w:tc>
          <w:tcPr>
            <w:tcW w:w="1016" w:type="dxa"/>
          </w:tcPr>
          <w:tcPr/>
          <w:tcPr>
            <w:tcW w:w="1016" w:type="dxa"/>
          </w:tcPr>
          <w:p>
            <w:pPr>
              <w:pStyle w:val="Compact"/>
            </w:pPr>
            <w:r>
              <w:t xml:space="preserve">Средний</w:t>
            </w:r>
          </w:p>
        </w:tc>
        <w:tc>
          <w:tcPr>
            <w:tcW w:w="4856" w:type="dxa"/>
          </w:tcPr>
          <w:tcPr/>
          <w:tcPr>
            <w:tcW w:w="4856" w:type="dxa"/>
          </w:tcPr>
          <w:p>
            <w:pPr>
              <w:pStyle w:val="Compact"/>
            </w:pPr>
            <w:r>
              <w:t xml:space="preserve">Внедрить единую платформу опросов</w:t>
            </w:r>
          </w:p>
        </w:tc>
        <w:tc>
          <w:tcPr>
            <w:tcW w:w="3727" w:type="dxa"/>
          </w:tcPr>
          <w:tcPr/>
          <w:tcPr>
            <w:tcW w:w="3727" w:type="dxa"/>
          </w:tcPr>
          <w:p>
            <w:pPr>
              <w:pStyle w:val="Compact"/>
            </w:pPr>
            <w:r>
              <w:t xml:space="preserve">Автоматический анализ</w:t>
            </w:r>
          </w:p>
        </w:tc>
      </w:tr>
      <w:tr>
        <w:tc>
          <w:tcPr>
            <w:tcW w:w="1016" w:type="dxa"/>
          </w:tcPr>
          <w:tcPr/>
          <w:tcPr>
            <w:tcW w:w="1016" w:type="dxa"/>
          </w:tcPr>
          <w:p>
            <w:pPr>
              <w:pStyle w:val="Compact"/>
            </w:pPr>
            <w:r>
              <w:t xml:space="preserve">Средний</w:t>
            </w:r>
          </w:p>
        </w:tc>
        <w:tc>
          <w:tcPr>
            <w:tcW w:w="4856" w:type="dxa"/>
          </w:tcPr>
          <w:tcPr/>
          <w:tcPr>
            <w:tcW w:w="4856" w:type="dxa"/>
          </w:tcPr>
          <w:p>
            <w:pPr>
              <w:pStyle w:val="Compact"/>
            </w:pPr>
            <w:r>
              <w:t xml:space="preserve">Внедрить LMS для отслеживания обучения</w:t>
            </w:r>
          </w:p>
        </w:tc>
        <w:tc>
          <w:tcPr>
            <w:tcW w:w="3727" w:type="dxa"/>
          </w:tcPr>
          <w:tcPr/>
          <w:tcPr>
            <w:tcW w:w="3727" w:type="dxa"/>
          </w:tcPr>
          <w:p>
            <w:pPr>
              <w:pStyle w:val="Compact"/>
            </w:pPr>
            <w:r>
              <w:t xml:space="preserve">Прозрачность ROI</w:t>
            </w:r>
          </w:p>
        </w:tc>
      </w:tr>
      <w:tr>
        <w:tc>
          <w:tcPr>
            <w:tcW w:w="1016" w:type="dxa"/>
          </w:tcPr>
          <w:tcPr/>
          <w:tcPr>
            <w:tcW w:w="1016" w:type="dxa"/>
          </w:tcPr>
          <w:p>
            <w:pPr>
              <w:pStyle w:val="Compact"/>
            </w:pPr>
            <w:r>
              <w:t xml:space="preserve">Средний</w:t>
            </w:r>
          </w:p>
        </w:tc>
        <w:tc>
          <w:tcPr>
            <w:tcW w:w="4856" w:type="dxa"/>
          </w:tcPr>
          <w:tcPr/>
          <w:tcPr>
            <w:tcW w:w="4856" w:type="dxa"/>
          </w:tcPr>
          <w:p>
            <w:pPr>
              <w:pStyle w:val="Compact"/>
            </w:pPr>
            <w:r>
              <w:t xml:space="preserve">Настроить интеграцию с AUTO-SUP-03</w:t>
            </w:r>
          </w:p>
        </w:tc>
        <w:tc>
          <w:tcPr>
            <w:tcW w:w="3727" w:type="dxa"/>
          </w:tcPr>
          <w:tcPr/>
          <w:tcPr>
            <w:tcW w:w="3727" w:type="dxa"/>
          </w:tcPr>
          <w:p>
            <w:pPr>
              <w:pStyle w:val="Compact"/>
            </w:pPr>
            <w:r>
              <w:t xml:space="preserve">Целевое обучение на основе данных</w:t>
            </w:r>
          </w:p>
        </w:tc>
      </w:tr>
      <w:tr>
        <w:tc>
          <w:tcPr>
            <w:tcW w:w="1016" w:type="dxa"/>
          </w:tcPr>
          <w:tcPr/>
          <w:tcPr>
            <w:tcW w:w="1016" w:type="dxa"/>
          </w:tcPr>
          <w:p>
            <w:pPr>
              <w:pStyle w:val="Compact"/>
            </w:pPr>
            <w:r>
              <w:t xml:space="preserve">Низкий</w:t>
            </w:r>
          </w:p>
        </w:tc>
        <w:tc>
          <w:tcPr>
            <w:tcW w:w="4856" w:type="dxa"/>
          </w:tcPr>
          <w:tcPr/>
          <w:tcPr>
            <w:tcW w:w="4856" w:type="dxa"/>
          </w:tcPr>
          <w:p>
            <w:pPr>
              <w:pStyle w:val="Compact"/>
            </w:pPr>
            <w:r>
              <w:t xml:space="preserve">Унифицировать каналы коммуникаций</w:t>
            </w:r>
          </w:p>
        </w:tc>
        <w:tc>
          <w:tcPr>
            <w:tcW w:w="3727" w:type="dxa"/>
          </w:tcPr>
          <w:tcPr/>
          <w:tcPr>
            <w:tcW w:w="3727" w:type="dxa"/>
          </w:tcPr>
          <w:p>
            <w:pPr>
              <w:pStyle w:val="Compact"/>
            </w:pPr>
            <w:r>
              <w:t xml:space="preserve">Информированность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2026-02-28T17:40:53Z</dcterms:created>
  <dcterms:modified xsi:type="dcterms:W3CDTF">2026-02-28T17:40:53Z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