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p-08-it-обеспечение"/>
    <w:p>
      <w:pPr>
        <w:pStyle w:val="Heading1"/>
      </w:pPr>
      <w:r>
        <w:t xml:space="preserve">BP-08: IT-обеспечение</w:t>
      </w:r>
    </w:p>
    <w:p>
      <w:pPr>
        <w:pStyle w:val="FirstParagraph"/>
      </w:pPr>
      <w:r>
        <w:rPr>
          <w:b/>
          <w:bCs/>
        </w:rPr>
        <w:t xml:space="preserve">Тип процесса:</w:t>
      </w:r>
      <w:r>
        <w:t xml:space="preserve"> </w:t>
      </w:r>
      <w:r>
        <w:t xml:space="preserve">Поддерживающий (Supporting)</w:t>
      </w:r>
      <w:r>
        <w:t xml:space="preserve"> </w:t>
      </w:r>
      <w:r>
        <w:rPr>
          <w:b/>
          <w:bCs/>
        </w:rPr>
        <w:t xml:space="preserve">Код:</w:t>
      </w:r>
      <w:r>
        <w:t xml:space="preserve"> </w:t>
      </w:r>
      <w:r>
        <w:t xml:space="preserve">BP-08</w:t>
      </w:r>
      <w:r>
        <w:t xml:space="preserve"> </w:t>
      </w:r>
      <w:r>
        <w:rPr>
          <w:b/>
          <w:bCs/>
        </w:rPr>
        <w:t xml:space="preserve">Владелец:</w:t>
      </w:r>
      <w:r>
        <w:t xml:space="preserve"> </w:t>
      </w:r>
      <w:r>
        <w:t xml:space="preserve">Логвинов Григорий Анатольевич (L1-07)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КРИТИЧЕСКИЙ</w:t>
      </w:r>
      <w:r>
        <w:t xml:space="preserve"> </w:t>
      </w:r>
      <w:r>
        <w:rPr>
          <w:b/>
          <w:bCs/>
        </w:rPr>
        <w:t xml:space="preserve">Численность:</w:t>
      </w:r>
      <w:r>
        <w:t xml:space="preserve"> </w:t>
      </w:r>
      <w:r>
        <w:t xml:space="preserve">7 человек</w:t>
      </w:r>
    </w:p>
    <w:p>
      <w:r>
        <w:pict>
          <v:rect style="width:0;height:1.5pt" o:hralign="center" o:hrstd="t" o:hr="t"/>
        </w:pict>
      </w:r>
    </w:p>
    <w:bookmarkStart w:id="9" w:name="резюме"/>
    <w:p>
      <w:pPr>
        <w:pStyle w:val="Heading2"/>
      </w:pPr>
      <w:r>
        <w:t xml:space="preserve">Резюме</w:t>
      </w:r>
    </w:p>
    <w:p>
      <w:pPr>
        <w:pStyle w:val="FirstParagraph"/>
      </w:pPr>
      <w:r>
        <w:t xml:space="preserve">Процесс IT-обеспечения является инфраструктурным фундаментом для всех бизнес-процессов компании. IT отвечает за стабильность систем (САМО-тур, Битрикс24, 1С), безопасность данных, внедрение новых решений и поддержку пользователей. Сбой IT = остановка бизнеса.</w:t>
      </w:r>
    </w:p>
    <w:p>
      <w:pPr>
        <w:pStyle w:val="BodyText"/>
      </w:pPr>
      <w:r>
        <w:rPr>
          <w:b/>
          <w:bCs/>
        </w:rPr>
        <w:t xml:space="preserve">Влияние на основные процессы:</w:t>
      </w:r>
      <w:r>
        <w:t xml:space="preserve"> </w:t>
      </w:r>
      <w:r>
        <w:t xml:space="preserve">- BP-01 (Заявки): Работоспособность САМО-тур, Битрикс24</w:t>
      </w:r>
      <w:r>
        <w:t xml:space="preserve"> </w:t>
      </w:r>
      <w:r>
        <w:t xml:space="preserve">- BP-02 (Маркетинг): Сайт, CRM, аналитика</w:t>
      </w:r>
      <w:r>
        <w:t xml:space="preserve"> </w:t>
      </w:r>
      <w:r>
        <w:t xml:space="preserve">- BP-03 (MICE): ETM-платформа, интеграции</w:t>
      </w:r>
      <w:r>
        <w:t xml:space="preserve"> </w:t>
      </w:r>
      <w:r>
        <w:t xml:space="preserve">- BP-04 (Финансы): 1С, банк-клиент, Invoice Tracker</w:t>
      </w:r>
      <w:r>
        <w:t xml:space="preserve"> </w:t>
      </w:r>
      <w:r>
        <w:t xml:space="preserve">- BP-05 (Продукт): САМО-тур, публикация на сайте</w:t>
      </w:r>
      <w:r>
        <w:t xml:space="preserve"> </w:t>
      </w:r>
      <w:r>
        <w:t xml:space="preserve">- BP-06 (Поддержка): Телефония, CRM, базы знаний</w:t>
      </w:r>
    </w:p>
    <w:p>
      <w:r>
        <w:pict>
          <v:rect style="width:0;height:1.5pt" o:hralign="center" o:hrstd="t" o:hr="t"/>
        </w:pict>
      </w:r>
    </w:p>
    <w:bookmarkEnd w:id="9"/>
    <w:bookmarkStart w:id="10" w:name="цели-процесса"/>
    <w:p>
      <w:pPr>
        <w:pStyle w:val="Heading2"/>
      </w:pPr>
      <w:r>
        <w:t xml:space="preserve">Цели процесса</w:t>
      </w:r>
    </w:p>
    <w:p>
      <w:pPr>
        <w:pStyle w:val="Compact"/>
        <w:numPr>
          <w:ilvl w:val="0"/>
          <w:numId w:val="1001"/>
        </w:numPr>
      </w:pPr>
      <w:r>
        <w:t xml:space="preserve">Обеспечить бесперебойную работу IT-систем при росте нагрузки в 1,5 раза</w:t>
      </w:r>
    </w:p>
    <w:p>
      <w:pPr>
        <w:pStyle w:val="Compact"/>
        <w:numPr>
          <w:ilvl w:val="0"/>
          <w:numId w:val="1001"/>
        </w:numPr>
      </w:pPr>
      <w:r>
        <w:t xml:space="preserve">Свести к нулю финансовые потери от простоев и кибератак</w:t>
      </w:r>
    </w:p>
    <w:p>
      <w:pPr>
        <w:pStyle w:val="Compact"/>
        <w:numPr>
          <w:ilvl w:val="0"/>
          <w:numId w:val="1001"/>
        </w:numPr>
      </w:pPr>
      <w:r>
        <w:t xml:space="preserve">Доступность ключевых систем: 99,9%</w:t>
      </w:r>
    </w:p>
    <w:p>
      <w:pPr>
        <w:pStyle w:val="Compact"/>
        <w:numPr>
          <w:ilvl w:val="0"/>
          <w:numId w:val="1001"/>
        </w:numPr>
      </w:pPr>
      <w:r>
        <w:t xml:space="preserve">Сократить время подключения нового партнёра на 50%</w:t>
      </w:r>
    </w:p>
    <w:p>
      <w:pPr>
        <w:pStyle w:val="Compact"/>
        <w:numPr>
          <w:ilvl w:val="0"/>
          <w:numId w:val="1001"/>
        </w:numPr>
      </w:pPr>
      <w:r>
        <w:t xml:space="preserve">Удовлетворённость внутренних клиентов: 85%</w:t>
      </w:r>
    </w:p>
    <w:p>
      <w:r>
        <w:pict>
          <v:rect style="width:0;height:1.5pt" o:hralign="center" o:hrstd="t" o:hr="t"/>
        </w:pict>
      </w:r>
    </w:p>
    <w:bookmarkEnd w:id="10"/>
    <w:bookmarkStart w:id="16" w:name="подпроцессы"/>
    <w:p>
      <w:pPr>
        <w:pStyle w:val="Heading2"/>
      </w:pPr>
      <w:r>
        <w:t xml:space="preserve">Подпроцессы</w:t>
      </w:r>
    </w:p>
    <w:bookmarkStart w:id="11" w:name="X5bfd9ed641704e2c19f195afc084f43132dfe9f"/>
    <w:p>
      <w:pPr>
        <w:pStyle w:val="Heading3"/>
      </w:pPr>
      <w:r>
        <w:t xml:space="preserve">8.1 Внедрение аппаратно-программного комплекса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1-7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 блок-схема</w:t>
      </w:r>
    </w:p>
    <w:p>
      <w:pPr>
        <w:pStyle w:val="BodyText"/>
      </w:pPr>
      <w:r>
        <w:t xml:space="preserve">Процесс включает: поступление заявки, анализ и согласование, закупка/поставка, настройка, тестирование, ввод в эксплуатацию.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Проблемы коммуникации и согласования</w:t>
      </w:r>
      <w:r>
        <w:t xml:space="preserve"> </w:t>
      </w:r>
      <w:r>
        <w:t xml:space="preserve">- Задержки при реализации</w:t>
      </w:r>
      <w:r>
        <w:t xml:space="preserve"> </w:t>
      </w:r>
      <w:r>
        <w:t xml:space="preserve">- Зависимость от поставщиков</w:t>
      </w:r>
      <w:r>
        <w:t xml:space="preserve"> </w:t>
      </w:r>
      <w:r>
        <w:t xml:space="preserve">- Нехватка сотрудников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Приоритет 2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156"/>
        <w:gridCol w:w="3007"/>
        <w:gridCol w:w="3585"/>
        <w:gridCol w:w="1850"/>
      </w:tblGrid>
      <w:tr>
        <w:trPr>
          <w:tblHeader w:val="on"/>
        </w:trPr>
        <w:tc>
          <w:tcPr>
            <w:tcW w:w="115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15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300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0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</w:t>
            </w:r>
          </w:p>
        </w:tc>
        <w:tc>
          <w:tcPr>
            <w:tcW w:w="358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58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185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85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>
            <w:tcW w:w="1156" w:type="dxa"/>
          </w:tcPr>
          <w:tcPr/>
          <w:tcPr>
            <w:tcW w:w="1156" w:type="dxa"/>
          </w:tcPr>
          <w:p>
            <w:pPr>
              <w:pStyle w:val="Compact"/>
            </w:pPr>
            <w:r>
              <w:t xml:space="preserve">AUTO-IT-01</w:t>
            </w:r>
          </w:p>
        </w:tc>
        <w:tc>
          <w:tcPr>
            <w:tcW w:w="3007" w:type="dxa"/>
          </w:tcPr>
          <w:tcPr/>
          <w:tcPr>
            <w:tcW w:w="3007" w:type="dxa"/>
          </w:tcPr>
          <w:p>
            <w:pPr>
              <w:pStyle w:val="Compact"/>
            </w:pPr>
            <w:r>
              <w:t xml:space="preserve">Автоматизация согласований</w:t>
            </w:r>
          </w:p>
        </w:tc>
        <w:tc>
          <w:tcPr>
            <w:tcW w:w="3585" w:type="dxa"/>
          </w:tcPr>
          <w:tcPr/>
          <w:tcPr>
            <w:tcW w:w="3585" w:type="dxa"/>
          </w:tcPr>
          <w:p>
            <w:pPr>
              <w:pStyle w:val="Compact"/>
            </w:pPr>
            <w:r>
              <w:t xml:space="preserve">Workflow в Битрикс24</w:t>
            </w:r>
          </w:p>
        </w:tc>
        <w:tc>
          <w:tcPr>
            <w:tcW w:w="1850" w:type="dxa"/>
          </w:tcPr>
          <w:tcPr/>
          <w:tcPr>
            <w:tcW w:w="1850" w:type="dxa"/>
          </w:tcPr>
          <w:p>
            <w:pPr>
              <w:pStyle w:val="Compact"/>
            </w:pPr>
            <w:r>
              <w:t xml:space="preserve">Ускорение на 30%</w:t>
            </w:r>
          </w:p>
        </w:tc>
      </w:tr>
      <w:tr>
        <w:tc>
          <w:tcPr>
            <w:tcW w:w="1156" w:type="dxa"/>
          </w:tcPr>
          <w:tcPr/>
          <w:tcPr>
            <w:tcW w:w="1156" w:type="dxa"/>
          </w:tcPr>
          <w:p>
            <w:pPr>
              <w:pStyle w:val="Compact"/>
            </w:pPr>
            <w:r>
              <w:t xml:space="preserve">AUTO-IT-02</w:t>
            </w:r>
          </w:p>
        </w:tc>
        <w:tc>
          <w:tcPr>
            <w:tcW w:w="3007" w:type="dxa"/>
          </w:tcPr>
          <w:tcPr/>
          <w:tcPr>
            <w:tcW w:w="3007" w:type="dxa"/>
          </w:tcPr>
          <w:p>
            <w:pPr>
              <w:pStyle w:val="Compact"/>
            </w:pPr>
            <w:r>
              <w:t xml:space="preserve">Автоматизация тестирования</w:t>
            </w:r>
          </w:p>
        </w:tc>
        <w:tc>
          <w:tcPr>
            <w:tcW w:w="3585" w:type="dxa"/>
          </w:tcPr>
          <w:tcPr/>
          <w:tcPr>
            <w:tcW w:w="3585" w:type="dxa"/>
          </w:tcPr>
          <w:p>
            <w:pPr>
              <w:pStyle w:val="Compact"/>
            </w:pPr>
            <w:r>
              <w:t xml:space="preserve">Автотесты для типовых сценариев</w:t>
            </w:r>
          </w:p>
        </w:tc>
        <w:tc>
          <w:tcPr>
            <w:tcW w:w="1850" w:type="dxa"/>
          </w:tcPr>
          <w:tcPr/>
          <w:tcPr>
            <w:tcW w:w="1850" w:type="dxa"/>
          </w:tcPr>
          <w:p>
            <w:pPr>
              <w:pStyle w:val="Compact"/>
            </w:pPr>
            <w:r>
              <w:t xml:space="preserve">Снижение ошибок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модернизация-систем"/>
    <w:p>
      <w:pPr>
        <w:pStyle w:val="Heading3"/>
      </w:pPr>
      <w:r>
        <w:t xml:space="preserve">8.2 Модернизация систем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1-7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 блок-схема</w:t>
      </w:r>
    </w:p>
    <w:p>
      <w:pPr>
        <w:pStyle w:val="BodyText"/>
      </w:pPr>
      <w:r>
        <w:t xml:space="preserve">Процесс включает: выявление потребности, подбор альтернатив, согласование и закупка, тестирование, внедрение.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Недопонимание требований</w:t>
      </w:r>
      <w:r>
        <w:t xml:space="preserve"> </w:t>
      </w:r>
      <w:r>
        <w:t xml:space="preserve">- Задержки согласований</w:t>
      </w:r>
      <w:r>
        <w:t xml:space="preserve"> </w:t>
      </w:r>
      <w:r>
        <w:t xml:space="preserve">- Отсутствие времени на тестирование</w:t>
      </w:r>
      <w:r>
        <w:t xml:space="preserve"> </w:t>
      </w:r>
      <w:r>
        <w:t xml:space="preserve">- Зависимость от других отделов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Приоритет 2 (аналогично 8.1)</w:t>
      </w:r>
    </w:p>
    <w:p>
      <w:r>
        <w:pict>
          <v:rect style="width:0;height:1.5pt" o:hralign="center" o:hrstd="t" o:hr="t"/>
        </w:pict>
      </w:r>
    </w:p>
    <w:bookmarkEnd w:id="12"/>
    <w:bookmarkStart w:id="13" w:name="внедрение-интеграций"/>
    <w:p>
      <w:pPr>
        <w:pStyle w:val="Heading3"/>
      </w:pPr>
      <w:r>
        <w:t xml:space="preserve">8.3 Внедрение интеграций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1-7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 блок-схема</w:t>
      </w:r>
    </w:p>
    <w:p>
      <w:pPr>
        <w:pStyle w:val="BodyText"/>
      </w:pPr>
      <w:r>
        <w:t xml:space="preserve">Процесс включает: запрос от партнёра, анализ требований, разработка/настройка, тестирование с партнёром, запуск.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Недопонимание, нехватка информации</w:t>
      </w:r>
      <w:r>
        <w:t xml:space="preserve"> </w:t>
      </w:r>
      <w:r>
        <w:t xml:space="preserve">- Непонимание конечного результата</w:t>
      </w:r>
      <w:r>
        <w:t xml:space="preserve"> </w:t>
      </w:r>
      <w:r>
        <w:t xml:space="preserve">- Зависимость от САМО-софт и поставщиков</w:t>
      </w:r>
      <w:r>
        <w:t xml:space="preserve"> </w:t>
      </w:r>
      <w:r>
        <w:t xml:space="preserve">- Несогласованность действий партнёров</w:t>
      </w:r>
    </w:p>
    <w:p>
      <w:pPr>
        <w:pStyle w:val="BodyText"/>
      </w:pPr>
      <w:r>
        <w:rPr>
          <w:b/>
          <w:bCs/>
        </w:rPr>
        <w:t xml:space="preserve">Текущий срок подключения партнёра:</w:t>
      </w:r>
      <w:r>
        <w:t xml:space="preserve"> </w:t>
      </w:r>
      <w:r>
        <w:t xml:space="preserve">~60 дней</w:t>
      </w:r>
      <w:r>
        <w:t xml:space="preserve"> </w:t>
      </w:r>
      <w:r>
        <w:rPr>
          <w:b/>
          <w:bCs/>
        </w:rPr>
        <w:t xml:space="preserve">Целевой срок:</w:t>
      </w:r>
      <w:r>
        <w:t xml:space="preserve"> </w:t>
      </w:r>
      <w:r>
        <w:t xml:space="preserve">30 дней (-50%)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Приоритет 3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078"/>
        <w:gridCol w:w="1941"/>
        <w:gridCol w:w="4314"/>
        <w:gridCol w:w="2265"/>
      </w:tblGrid>
      <w:tr>
        <w:trPr>
          <w:tblHeader w:val="on"/>
        </w:trPr>
        <w:tc>
          <w:tcPr>
            <w:tcW w:w="107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07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94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94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</w:t>
            </w:r>
          </w:p>
        </w:tc>
        <w:tc>
          <w:tcPr>
            <w:tcW w:w="431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31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26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26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>
            <w:tcW w:w="1078" w:type="dxa"/>
          </w:tcPr>
          <w:tcPr/>
          <w:tcPr>
            <w:tcW w:w="1078" w:type="dxa"/>
          </w:tcPr>
          <w:p>
            <w:pPr>
              <w:pStyle w:val="Compact"/>
            </w:pPr>
            <w:r>
              <w:t xml:space="preserve">AUTO-IT-03</w:t>
            </w:r>
          </w:p>
        </w:tc>
        <w:tc>
          <w:tcPr>
            <w:tcW w:w="1941" w:type="dxa"/>
          </w:tcPr>
          <w:tcPr/>
          <w:tcPr>
            <w:tcW w:w="1941" w:type="dxa"/>
          </w:tcPr>
          <w:p>
            <w:pPr>
              <w:pStyle w:val="Compact"/>
            </w:pPr>
            <w:r>
              <w:t xml:space="preserve">Шаблоны интеграций</w:t>
            </w:r>
          </w:p>
        </w:tc>
        <w:tc>
          <w:tcPr>
            <w:tcW w:w="4314" w:type="dxa"/>
          </w:tcPr>
          <w:tcPr/>
          <w:tcPr>
            <w:tcW w:w="4314" w:type="dxa"/>
          </w:tcPr>
          <w:p>
            <w:pPr>
              <w:pStyle w:val="Compact"/>
            </w:pPr>
            <w:r>
              <w:t xml:space="preserve">Готовые коннекторы для типовых партнёров</w:t>
            </w:r>
          </w:p>
        </w:tc>
        <w:tc>
          <w:tcPr>
            <w:tcW w:w="2265" w:type="dxa"/>
          </w:tcPr>
          <w:tcPr/>
          <w:tcPr>
            <w:tcW w:w="2265" w:type="dxa"/>
          </w:tcPr>
          <w:p>
            <w:pPr>
              <w:pStyle w:val="Compact"/>
            </w:pPr>
            <w:r>
              <w:t xml:space="preserve">Ускорение подключения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поддержка-пользователей-service-desk"/>
    <w:p>
      <w:pPr>
        <w:pStyle w:val="Heading3"/>
      </w:pPr>
      <w:r>
        <w:t xml:space="preserve">8.4 Поддержка пользователей (Service Desk)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1-7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 наброски</w:t>
      </w:r>
    </w:p>
    <w:p>
      <w:pPr>
        <w:pStyle w:val="BodyText"/>
      </w:pPr>
      <w:r>
        <w:t xml:space="preserve">Процесс включает: обращение пользователя, классификация, решение (1-3 линия), закрытие тикета, сбор обратной связи.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Сотрудники не понимают системы и процессы</w:t>
      </w:r>
      <w:r>
        <w:t xml:space="preserve"> </w:t>
      </w:r>
      <w:r>
        <w:t xml:space="preserve">- Не придерживаются регламентов</w:t>
      </w:r>
      <w:r>
        <w:t xml:space="preserve"> </w:t>
      </w:r>
      <w:r>
        <w:t xml:space="preserve">- Проблемы в работе систем поставщиков</w:t>
      </w:r>
      <w:r>
        <w:t xml:space="preserve"> </w:t>
      </w:r>
      <w:r>
        <w:t xml:space="preserve">- Ручная работа, технические проблемы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ПРИОРИТЕТ 1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000"/>
        <w:gridCol w:w="2100"/>
        <w:gridCol w:w="4000"/>
        <w:gridCol w:w="2500"/>
      </w:tblGrid>
      <w:tr>
        <w:trPr>
          <w:tblHeader w:val="on"/>
        </w:trPr>
        <w:tc>
          <w:tcPr>
            <w:tcW w:w="10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0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1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</w:t>
            </w:r>
          </w:p>
        </w:tc>
        <w:tc>
          <w:tcPr>
            <w:tcW w:w="40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0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5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>
            <w:tcW w:w="1000" w:type="dxa"/>
          </w:tcPr>
          <w:tcPr/>
          <w:tcPr>
            <w:tcW w:w="1000" w:type="dxa"/>
          </w:tcPr>
          <w:p>
            <w:pPr>
              <w:pStyle w:val="Compact"/>
            </w:pPr>
            <w:r>
              <w:t xml:space="preserve">AUTO-IT-04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AI-помощник / чат-бот</w:t>
            </w:r>
          </w:p>
        </w:tc>
        <w:tc>
          <w:tcPr>
            <w:tcW w:w="4000" w:type="dxa"/>
          </w:tcPr>
          <w:tcPr/>
          <w:tcPr>
            <w:tcW w:w="4000" w:type="dxa"/>
          </w:tcPr>
          <w:p>
            <w:pPr>
              <w:pStyle w:val="Compact"/>
            </w:pPr>
            <w:r>
              <w:t xml:space="preserve">Автоматические ответы на типовые вопросы</w:t>
            </w:r>
          </w:p>
        </w:tc>
        <w:tc>
          <w:tcPr>
            <w:tcW w:w="2500" w:type="dxa"/>
          </w:tcPr>
          <w:tcPr/>
          <w:tcPr>
            <w:tcW w:w="2500" w:type="dxa"/>
          </w:tcPr>
          <w:p>
            <w:pPr>
              <w:pStyle w:val="Compact"/>
            </w:pPr>
            <w:r>
              <w:t xml:space="preserve">Снижение нагрузки на 40%</w:t>
            </w:r>
          </w:p>
        </w:tc>
      </w:tr>
      <w:tr>
        <w:tc>
          <w:tcPr>
            <w:tcW w:w="1000" w:type="dxa"/>
          </w:tcPr>
          <w:tcPr/>
          <w:tcPr>
            <w:tcW w:w="1000" w:type="dxa"/>
          </w:tcPr>
          <w:p>
            <w:pPr>
              <w:pStyle w:val="Compact"/>
            </w:pPr>
            <w:r>
              <w:t xml:space="preserve">AUTO-IT-05</w:t>
            </w:r>
          </w:p>
        </w:tc>
        <w:tc>
          <w:tcPr>
            <w:tcW w:w="2100" w:type="dxa"/>
          </w:tcPr>
          <w:tcPr/>
          <w:tcPr>
            <w:tcW w:w="2100" w:type="dxa"/>
          </w:tcPr>
          <w:p>
            <w:pPr>
              <w:pStyle w:val="Compact"/>
            </w:pPr>
            <w:r>
              <w:t xml:space="preserve">База знаний с поиском</w:t>
            </w:r>
          </w:p>
        </w:tc>
        <w:tc>
          <w:tcPr>
            <w:tcW w:w="4000" w:type="dxa"/>
          </w:tcPr>
          <w:tcPr/>
          <w:tcPr>
            <w:tcW w:w="4000" w:type="dxa"/>
          </w:tcPr>
          <w:p>
            <w:pPr>
              <w:pStyle w:val="Compact"/>
            </w:pPr>
            <w:r>
              <w:t xml:space="preserve">Самообслуживание пользователей</w:t>
            </w:r>
          </w:p>
        </w:tc>
        <w:tc>
          <w:tcPr>
            <w:tcW w:w="2500" w:type="dxa"/>
          </w:tcPr>
          <w:tcPr/>
          <w:tcPr>
            <w:tcW w:w="2500" w:type="dxa"/>
          </w:tcPr>
          <w:p>
            <w:pPr>
              <w:pStyle w:val="Compact"/>
            </w:pPr>
            <w:r>
              <w:t xml:space="preserve">Сокращение тикетов на 30%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управление-доступами-приёмувольнение"/>
    <w:p>
      <w:pPr>
        <w:pStyle w:val="Heading3"/>
      </w:pPr>
      <w:r>
        <w:t xml:space="preserve">8.5 Управление доступами (приём/увольнение)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2-3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</w:t>
      </w:r>
    </w:p>
    <w:p>
      <w:pPr>
        <w:pStyle w:val="BodyText"/>
      </w:pPr>
      <w:r>
        <w:t xml:space="preserve">Процесс включает: заявка от HR, создание/деактивация учётных записей, настройка доступов, выдача оборудования.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Сотрудник выходит завтра — сообщили сегодня вечером</w:t>
      </w:r>
      <w:r>
        <w:t xml:space="preserve"> </w:t>
      </w:r>
      <w:r>
        <w:t xml:space="preserve">- Ошибки в написании ФИО, должности, подразделения</w:t>
      </w:r>
      <w:r>
        <w:t xml:space="preserve"> </w:t>
      </w:r>
      <w:r>
        <w:t xml:space="preserve">- Оборудование может отсутствовать в наличии</w:t>
      </w:r>
      <w:r>
        <w:t xml:space="preserve"> </w:t>
      </w:r>
      <w:r>
        <w:t xml:space="preserve">- Отсутствие предварительной коммуникации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Приоритет 2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246"/>
        <w:gridCol w:w="3241"/>
        <w:gridCol w:w="2992"/>
        <w:gridCol w:w="2119"/>
      </w:tblGrid>
      <w:tr>
        <w:trPr>
          <w:tblHeader w:val="on"/>
        </w:trPr>
        <w:tc>
          <w:tcPr>
            <w:tcW w:w="124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24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324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24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</w:t>
            </w:r>
          </w:p>
        </w:tc>
        <w:tc>
          <w:tcPr>
            <w:tcW w:w="299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99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11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1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>
            <w:tcW w:w="1246" w:type="dxa"/>
          </w:tcPr>
          <w:tcPr/>
          <w:tcPr>
            <w:tcW w:w="1246" w:type="dxa"/>
          </w:tcPr>
          <w:p>
            <w:pPr>
              <w:pStyle w:val="Compact"/>
            </w:pPr>
            <w:r>
              <w:t xml:space="preserve">AUTO-IT-06</w:t>
            </w:r>
          </w:p>
        </w:tc>
        <w:tc>
          <w:tcPr>
            <w:tcW w:w="3241" w:type="dxa"/>
          </w:tcPr>
          <w:tcPr/>
          <w:tcPr>
            <w:tcW w:w="3241" w:type="dxa"/>
          </w:tcPr>
          <w:p>
            <w:pPr>
              <w:pStyle w:val="Compact"/>
            </w:pPr>
            <w:r>
              <w:t xml:space="preserve">Автоматическое создание УЗ</w:t>
            </w:r>
          </w:p>
        </w:tc>
        <w:tc>
          <w:tcPr>
            <w:tcW w:w="2992" w:type="dxa"/>
          </w:tcPr>
          <w:tcPr/>
          <w:tcPr>
            <w:tcW w:w="2992" w:type="dxa"/>
          </w:tcPr>
          <w:p>
            <w:pPr>
              <w:pStyle w:val="Compact"/>
            </w:pPr>
            <w:r>
              <w:t xml:space="preserve">Интеграция с HR-системой</w:t>
            </w:r>
          </w:p>
        </w:tc>
        <w:tc>
          <w:tcPr>
            <w:tcW w:w="2119" w:type="dxa"/>
          </w:tcPr>
          <w:tcPr/>
          <w:tcPr>
            <w:tcW w:w="2119" w:type="dxa"/>
          </w:tcPr>
          <w:p>
            <w:pPr>
              <w:pStyle w:val="Compact"/>
            </w:pPr>
            <w:r>
              <w:t xml:space="preserve">Сокращение ошибок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kpi-процесса"/>
    <w:p>
      <w:pPr>
        <w:pStyle w:val="Heading2"/>
      </w:pPr>
      <w:r>
        <w:t xml:space="preserve">KPI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4251"/>
        <w:gridCol w:w="1097"/>
        <w:gridCol w:w="2057"/>
        <w:gridCol w:w="2194"/>
      </w:tblGrid>
      <w:tr>
        <w:trPr>
          <w:tblHeader w:val="on"/>
        </w:trPr>
        <w:tc>
          <w:tcPr>
            <w:tcW w:w="425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25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109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09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  <w:tc>
          <w:tcPr>
            <w:tcW w:w="205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05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Текущее</w:t>
            </w:r>
          </w:p>
        </w:tc>
        <w:tc>
          <w:tcPr>
            <w:tcW w:w="219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9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4251" w:type="dxa"/>
          </w:tcPr>
          <w:tcPr/>
          <w:tcPr>
            <w:tcW w:w="4251" w:type="dxa"/>
          </w:tcPr>
          <w:p>
            <w:pPr>
              <w:pStyle w:val="Compact"/>
            </w:pPr>
            <w:r>
              <w:t xml:space="preserve">Доступность ключевых систем</w:t>
            </w:r>
          </w:p>
        </w:tc>
        <w:tc>
          <w:tcPr>
            <w:tcW w:w="1097" w:type="dxa"/>
          </w:tcPr>
          <w:tcPr/>
          <w:tcPr>
            <w:tcW w:w="1097" w:type="dxa"/>
          </w:tcPr>
          <w:p>
            <w:pPr>
              <w:pStyle w:val="Compact"/>
            </w:pPr>
            <w:r>
              <w:t xml:space="preserve">≥99,9%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~99,5%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Требует внимания</w:t>
            </w:r>
          </w:p>
        </w:tc>
      </w:tr>
      <w:tr>
        <w:tc>
          <w:tcPr>
            <w:tcW w:w="4251" w:type="dxa"/>
          </w:tcPr>
          <w:tcPr/>
          <w:tcPr>
            <w:tcW w:w="4251" w:type="dxa"/>
          </w:tcPr>
          <w:p>
            <w:pPr>
              <w:pStyle w:val="Compact"/>
            </w:pPr>
            <w:r>
              <w:t xml:space="preserve">Критические инциденты</w:t>
            </w:r>
          </w:p>
        </w:tc>
        <w:tc>
          <w:tcPr>
            <w:tcW w:w="1097" w:type="dxa"/>
          </w:tcPr>
          <w:tcPr/>
          <w:tcPr>
            <w:tcW w:w="1097" w:type="dxa"/>
          </w:tcPr>
          <w:p>
            <w:pPr>
              <w:pStyle w:val="Compact"/>
            </w:pPr>
            <w:r>
              <w:t xml:space="preserve">-60%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Базовый уровень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Нет данных</w:t>
            </w:r>
          </w:p>
        </w:tc>
      </w:tr>
      <w:tr>
        <w:tc>
          <w:tcPr>
            <w:tcW w:w="4251" w:type="dxa"/>
          </w:tcPr>
          <w:tcPr/>
          <w:tcPr>
            <w:tcW w:w="4251" w:type="dxa"/>
          </w:tcPr>
          <w:p>
            <w:pPr>
              <w:pStyle w:val="Compact"/>
            </w:pPr>
            <w:r>
              <w:t xml:space="preserve">Время восстановления</w:t>
            </w:r>
          </w:p>
        </w:tc>
        <w:tc>
          <w:tcPr>
            <w:tcW w:w="1097" w:type="dxa"/>
          </w:tcPr>
          <w:tcPr/>
          <w:tcPr>
            <w:tcW w:w="1097" w:type="dxa"/>
          </w:tcPr>
          <w:p>
            <w:pPr>
              <w:pStyle w:val="Compact"/>
            </w:pPr>
            <w:r>
              <w:t xml:space="preserve">-50%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~4 часа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Требует внимания</w:t>
            </w:r>
          </w:p>
        </w:tc>
      </w:tr>
      <w:tr>
        <w:tc>
          <w:tcPr>
            <w:tcW w:w="4251" w:type="dxa"/>
          </w:tcPr>
          <w:tcPr/>
          <w:tcPr>
            <w:tcW w:w="4251" w:type="dxa"/>
          </w:tcPr>
          <w:p>
            <w:pPr>
              <w:pStyle w:val="Compact"/>
            </w:pPr>
            <w:r>
              <w:t xml:space="preserve">Срок подключения партнёра</w:t>
            </w:r>
          </w:p>
        </w:tc>
        <w:tc>
          <w:tcPr>
            <w:tcW w:w="1097" w:type="dxa"/>
          </w:tcPr>
          <w:tcPr/>
          <w:tcPr>
            <w:tcW w:w="1097" w:type="dxa"/>
          </w:tcPr>
          <w:p>
            <w:pPr>
              <w:pStyle w:val="Compact"/>
            </w:pPr>
            <w:r>
              <w:t xml:space="preserve">≤30 дней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~60 дней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Критично</w:t>
            </w:r>
          </w:p>
        </w:tc>
      </w:tr>
      <w:tr>
        <w:tc>
          <w:tcPr>
            <w:tcW w:w="4251" w:type="dxa"/>
          </w:tcPr>
          <w:tcPr/>
          <w:tcPr>
            <w:tcW w:w="4251" w:type="dxa"/>
          </w:tcPr>
          <w:p>
            <w:pPr>
              <w:pStyle w:val="Compact"/>
            </w:pPr>
            <w:r>
              <w:t xml:space="preserve">Удовлетворённость пользователей</w:t>
            </w:r>
          </w:p>
        </w:tc>
        <w:tc>
          <w:tcPr>
            <w:tcW w:w="1097" w:type="dxa"/>
          </w:tcPr>
          <w:tcPr/>
          <w:tcPr>
            <w:tcW w:w="1097" w:type="dxa"/>
          </w:tcPr>
          <w:p>
            <w:pPr>
              <w:pStyle w:val="Compact"/>
            </w:pPr>
            <w:r>
              <w:t xml:space="preserve">≥85%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~70%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Требует внимания</w:t>
            </w:r>
          </w:p>
        </w:tc>
      </w:tr>
      <w:tr>
        <w:tc>
          <w:tcPr>
            <w:tcW w:w="4251" w:type="dxa"/>
          </w:tcPr>
          <w:tcPr/>
          <w:tcPr>
            <w:tcW w:w="4251" w:type="dxa"/>
          </w:tcPr>
          <w:p>
            <w:pPr>
              <w:pStyle w:val="Compact"/>
            </w:pPr>
            <w:r>
              <w:t xml:space="preserve">Время решения тикета (среднее)</w:t>
            </w:r>
          </w:p>
        </w:tc>
        <w:tc>
          <w:tcPr>
            <w:tcW w:w="1097" w:type="dxa"/>
          </w:tcPr>
          <w:tcPr/>
          <w:tcPr>
            <w:tcW w:w="1097" w:type="dxa"/>
          </w:tcPr>
          <w:p>
            <w:pPr>
              <w:pStyle w:val="Compact"/>
            </w:pPr>
            <w:r>
              <w:t xml:space="preserve">≤4 часа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~8 часов</w:t>
            </w:r>
          </w:p>
        </w:tc>
        <w:tc>
          <w:tcPr>
            <w:tcW w:w="2194" w:type="dxa"/>
          </w:tcPr>
          <w:tcPr/>
          <w:tcPr>
            <w:tcW w:w="2194" w:type="dxa"/>
          </w:tcPr>
          <w:p>
            <w:pPr>
              <w:pStyle w:val="Compact"/>
            </w:pPr>
            <w:r>
              <w:t xml:space="preserve">Требует внимания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связь-с-основными-процессами"/>
    <w:p>
      <w:pPr>
        <w:pStyle w:val="Heading2"/>
      </w:pPr>
      <w:r>
        <w:t xml:space="preserve">Связь с основными процессами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72"/>
        <w:gridCol w:w="4072"/>
        <w:gridCol w:w="3054"/>
      </w:tblGrid>
      <w:tr>
        <w:trPr>
          <w:tblHeader w:val="on"/>
        </w:trPr>
        <w:tc>
          <w:tcPr>
            <w:tcW w:w="247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47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Основной процесс</w:t>
            </w:r>
          </w:p>
        </w:tc>
        <w:tc>
          <w:tcPr>
            <w:tcW w:w="407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07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Системы IT</w:t>
            </w:r>
          </w:p>
        </w:tc>
        <w:tc>
          <w:tcPr>
            <w:tcW w:w="305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05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 сбоя</w:t>
            </w:r>
          </w:p>
        </w:tc>
      </w:tr>
      <w:tr>
        <w:tc>
          <w:tcPr>
            <w:tcW w:w="2472" w:type="dxa"/>
          </w:tcPr>
          <w:tcPr/>
          <w:tcPr>
            <w:tcW w:w="2472" w:type="dxa"/>
          </w:tcPr>
          <w:p>
            <w:pPr>
              <w:pStyle w:val="Compact"/>
            </w:pPr>
            <w:r>
              <w:t xml:space="preserve">BP-01 (Заявки)</w:t>
            </w:r>
          </w:p>
        </w:tc>
        <w:tc>
          <w:tcPr>
            <w:tcW w:w="4072" w:type="dxa"/>
          </w:tcPr>
          <w:tcPr/>
          <w:tcPr>
            <w:tcW w:w="4072" w:type="dxa"/>
          </w:tcPr>
          <w:p>
            <w:pPr>
              <w:pStyle w:val="Compact"/>
            </w:pPr>
            <w:r>
              <w:t xml:space="preserve">САМО-тур, Битрикс24, Outlook</w:t>
            </w:r>
          </w:p>
        </w:tc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Остановка продаж</w:t>
            </w:r>
          </w:p>
        </w:tc>
      </w:tr>
      <w:tr>
        <w:tc>
          <w:tcPr>
            <w:tcW w:w="2472" w:type="dxa"/>
          </w:tcPr>
          <w:tcPr/>
          <w:tcPr>
            <w:tcW w:w="2472" w:type="dxa"/>
          </w:tcPr>
          <w:p>
            <w:pPr>
              <w:pStyle w:val="Compact"/>
            </w:pPr>
            <w:r>
              <w:t xml:space="preserve">BP-02 (Маркетинг)</w:t>
            </w:r>
          </w:p>
        </w:tc>
        <w:tc>
          <w:tcPr>
            <w:tcW w:w="4072" w:type="dxa"/>
          </w:tcPr>
          <w:tcPr/>
          <w:tcPr>
            <w:tcW w:w="4072" w:type="dxa"/>
          </w:tcPr>
          <w:p>
            <w:pPr>
              <w:pStyle w:val="Compact"/>
            </w:pPr>
            <w:r>
              <w:t xml:space="preserve">Сайт, CRM, RoiStat</w:t>
            </w:r>
          </w:p>
        </w:tc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Потеря лидов</w:t>
            </w:r>
          </w:p>
        </w:tc>
      </w:tr>
      <w:tr>
        <w:tc>
          <w:tcPr>
            <w:tcW w:w="2472" w:type="dxa"/>
          </w:tcPr>
          <w:tcPr/>
          <w:tcPr>
            <w:tcW w:w="2472" w:type="dxa"/>
          </w:tcPr>
          <w:p>
            <w:pPr>
              <w:pStyle w:val="Compact"/>
            </w:pPr>
            <w:r>
              <w:t xml:space="preserve">BP-03 (MICE)</w:t>
            </w:r>
          </w:p>
        </w:tc>
        <w:tc>
          <w:tcPr>
            <w:tcW w:w="4072" w:type="dxa"/>
          </w:tcPr>
          <w:tcPr/>
          <w:tcPr>
            <w:tcW w:w="4072" w:type="dxa"/>
          </w:tcPr>
          <w:p>
            <w:pPr>
              <w:pStyle w:val="Compact"/>
            </w:pPr>
            <w:r>
              <w:t xml:space="preserve">ETM, интеграции</w:t>
            </w:r>
          </w:p>
        </w:tc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Задержки КП</w:t>
            </w:r>
          </w:p>
        </w:tc>
      </w:tr>
      <w:tr>
        <w:tc>
          <w:tcPr>
            <w:tcW w:w="2472" w:type="dxa"/>
          </w:tcPr>
          <w:tcPr/>
          <w:tcPr>
            <w:tcW w:w="2472" w:type="dxa"/>
          </w:tcPr>
          <w:p>
            <w:pPr>
              <w:pStyle w:val="Compact"/>
            </w:pPr>
            <w:r>
              <w:t xml:space="preserve">BP-04 (Финансы)</w:t>
            </w:r>
          </w:p>
        </w:tc>
        <w:tc>
          <w:tcPr>
            <w:tcW w:w="4072" w:type="dxa"/>
          </w:tcPr>
          <w:tcPr/>
          <w:tcPr>
            <w:tcW w:w="4072" w:type="dxa"/>
          </w:tcPr>
          <w:p>
            <w:pPr>
              <w:pStyle w:val="Compact"/>
            </w:pPr>
            <w:r>
              <w:t xml:space="preserve">1С, банк-клиент</w:t>
            </w:r>
          </w:p>
        </w:tc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Остановка платежей</w:t>
            </w:r>
          </w:p>
        </w:tc>
      </w:tr>
      <w:tr>
        <w:tc>
          <w:tcPr>
            <w:tcW w:w="2472" w:type="dxa"/>
          </w:tcPr>
          <w:tcPr/>
          <w:tcPr>
            <w:tcW w:w="2472" w:type="dxa"/>
          </w:tcPr>
          <w:p>
            <w:pPr>
              <w:pStyle w:val="Compact"/>
            </w:pPr>
            <w:r>
              <w:t xml:space="preserve">BP-05 (Продукт)</w:t>
            </w:r>
          </w:p>
        </w:tc>
        <w:tc>
          <w:tcPr>
            <w:tcW w:w="4072" w:type="dxa"/>
          </w:tcPr>
          <w:tcPr/>
          <w:tcPr>
            <w:tcW w:w="4072" w:type="dxa"/>
          </w:tcPr>
          <w:p>
            <w:pPr>
              <w:pStyle w:val="Compact"/>
            </w:pPr>
            <w:r>
              <w:t xml:space="preserve">САМО-тур, сайт</w:t>
            </w:r>
          </w:p>
        </w:tc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Нет публикации цен</w:t>
            </w:r>
          </w:p>
        </w:tc>
      </w:tr>
      <w:tr>
        <w:tc>
          <w:tcPr>
            <w:tcW w:w="2472" w:type="dxa"/>
          </w:tcPr>
          <w:tcPr/>
          <w:tcPr>
            <w:tcW w:w="2472" w:type="dxa"/>
          </w:tcPr>
          <w:p>
            <w:pPr>
              <w:pStyle w:val="Compact"/>
            </w:pPr>
            <w:r>
              <w:t xml:space="preserve">BP-06 (Поддержка)</w:t>
            </w:r>
          </w:p>
        </w:tc>
        <w:tc>
          <w:tcPr>
            <w:tcW w:w="4072" w:type="dxa"/>
          </w:tcPr>
          <w:tcPr/>
          <w:tcPr>
            <w:tcW w:w="4072" w:type="dxa"/>
          </w:tcPr>
          <w:p>
            <w:pPr>
              <w:pStyle w:val="Compact"/>
            </w:pPr>
            <w:r>
              <w:t xml:space="preserve">Телефония, CRM</w:t>
            </w:r>
          </w:p>
        </w:tc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Нет связи с клиентами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точки-автоматизации-сводка"/>
    <w:p>
      <w:pPr>
        <w:pStyle w:val="Heading2"/>
      </w:pPr>
      <w:r>
        <w:t xml:space="preserve">Точки автоматизации (сводка)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684"/>
        <w:gridCol w:w="1684"/>
        <w:gridCol w:w="4378"/>
        <w:gridCol w:w="1852"/>
      </w:tblGrid>
      <w:tr>
        <w:trPr>
          <w:tblHeader w:val="on"/>
        </w:trPr>
        <w:tc>
          <w:tcPr>
            <w:tcW w:w="168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68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68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68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Подпроцесс</w:t>
            </w:r>
          </w:p>
        </w:tc>
        <w:tc>
          <w:tcPr>
            <w:tcW w:w="437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37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Точка</w:t>
            </w:r>
          </w:p>
        </w:tc>
        <w:tc>
          <w:tcPr>
            <w:tcW w:w="185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85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AUTO-IT-04</w:t>
            </w:r>
          </w:p>
        </w:tc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Поддержка</w:t>
            </w:r>
          </w:p>
        </w:tc>
        <w:tc>
          <w:tcPr>
            <w:tcW w:w="4378" w:type="dxa"/>
          </w:tcPr>
          <w:tcPr/>
          <w:tcPr>
            <w:tcW w:w="4378" w:type="dxa"/>
          </w:tcPr>
          <w:p>
            <w:pPr>
              <w:pStyle w:val="Compact"/>
            </w:pPr>
            <w:r>
              <w:t xml:space="preserve">AI-помощник / чат-бот</w:t>
            </w:r>
          </w:p>
        </w:tc>
        <w:tc>
          <w:tcPr>
            <w:tcW w:w="1852" w:type="dxa"/>
          </w:tcPr>
          <w:tcPr/>
          <w:tcPr>
            <w:tcW w:w="1852" w:type="dxa"/>
          </w:tcPr>
          <w:p>
            <w:pPr>
              <w:pStyle w:val="Compact"/>
            </w:pPr>
            <w:r>
              <w:t xml:space="preserve">Критический</w:t>
            </w:r>
          </w:p>
        </w:tc>
      </w:tr>
      <w:tr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AUTO-IT-05</w:t>
            </w:r>
          </w:p>
        </w:tc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Поддержка</w:t>
            </w:r>
          </w:p>
        </w:tc>
        <w:tc>
          <w:tcPr>
            <w:tcW w:w="4378" w:type="dxa"/>
          </w:tcPr>
          <w:tcPr/>
          <w:tcPr>
            <w:tcW w:w="4378" w:type="dxa"/>
          </w:tcPr>
          <w:p>
            <w:pPr>
              <w:pStyle w:val="Compact"/>
            </w:pPr>
            <w:r>
              <w:t xml:space="preserve">База знаний с поиском</w:t>
            </w:r>
          </w:p>
        </w:tc>
        <w:tc>
          <w:tcPr>
            <w:tcW w:w="1852" w:type="dxa"/>
          </w:tcPr>
          <w:tcPr/>
          <w:tcPr>
            <w:tcW w:w="1852" w:type="dxa"/>
          </w:tcPr>
          <w:p>
            <w:pPr>
              <w:pStyle w:val="Compact"/>
            </w:pPr>
            <w:r>
              <w:t xml:space="preserve">Критический</w:t>
            </w:r>
          </w:p>
        </w:tc>
      </w:tr>
      <w:tr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AUTO-IT-01</w:t>
            </w:r>
          </w:p>
        </w:tc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Внедрение</w:t>
            </w:r>
          </w:p>
        </w:tc>
        <w:tc>
          <w:tcPr>
            <w:tcW w:w="4378" w:type="dxa"/>
          </w:tcPr>
          <w:tcPr/>
          <w:tcPr>
            <w:tcW w:w="4378" w:type="dxa"/>
          </w:tcPr>
          <w:p>
            <w:pPr>
              <w:pStyle w:val="Compact"/>
            </w:pPr>
            <w:r>
              <w:t xml:space="preserve">Автоматизация согласований</w:t>
            </w:r>
          </w:p>
        </w:tc>
        <w:tc>
          <w:tcPr>
            <w:tcW w:w="1852" w:type="dxa"/>
          </w:tcPr>
          <w:tcPr/>
          <w:tcPr>
            <w:tcW w:w="1852" w:type="dxa"/>
          </w:tcPr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AUTO-IT-02</w:t>
            </w:r>
          </w:p>
        </w:tc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Внедрение</w:t>
            </w:r>
          </w:p>
        </w:tc>
        <w:tc>
          <w:tcPr>
            <w:tcW w:w="4378" w:type="dxa"/>
          </w:tcPr>
          <w:tcPr/>
          <w:tcPr>
            <w:tcW w:w="4378" w:type="dxa"/>
          </w:tcPr>
          <w:p>
            <w:pPr>
              <w:pStyle w:val="Compact"/>
            </w:pPr>
            <w:r>
              <w:t xml:space="preserve">Автоматизация тестирования</w:t>
            </w:r>
          </w:p>
        </w:tc>
        <w:tc>
          <w:tcPr>
            <w:tcW w:w="1852" w:type="dxa"/>
          </w:tcPr>
          <w:tcPr/>
          <w:tcPr>
            <w:tcW w:w="1852" w:type="dxa"/>
          </w:tcPr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AUTO-IT-03</w:t>
            </w:r>
          </w:p>
        </w:tc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Интеграции</w:t>
            </w:r>
          </w:p>
        </w:tc>
        <w:tc>
          <w:tcPr>
            <w:tcW w:w="4378" w:type="dxa"/>
          </w:tcPr>
          <w:tcPr/>
          <w:tcPr>
            <w:tcW w:w="4378" w:type="dxa"/>
          </w:tcPr>
          <w:p>
            <w:pPr>
              <w:pStyle w:val="Compact"/>
            </w:pPr>
            <w:r>
              <w:t xml:space="preserve">Шаблоны интеграций</w:t>
            </w:r>
          </w:p>
        </w:tc>
        <w:tc>
          <w:tcPr>
            <w:tcW w:w="1852" w:type="dxa"/>
          </w:tcPr>
          <w:tcPr/>
          <w:tcPr>
            <w:tcW w:w="1852" w:type="dxa"/>
          </w:tcPr>
          <w:p>
            <w:pPr>
              <w:pStyle w:val="Compact"/>
            </w:pPr>
            <w:r>
              <w:t xml:space="preserve">Низкий</w:t>
            </w:r>
          </w:p>
        </w:tc>
      </w:tr>
      <w:tr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AUTO-IT-06</w:t>
            </w:r>
          </w:p>
        </w:tc>
        <w:tc>
          <w:tcPr>
            <w:tcW w:w="1684" w:type="dxa"/>
          </w:tcPr>
          <w:tcPr/>
          <w:tcPr>
            <w:tcW w:w="1684" w:type="dxa"/>
          </w:tcPr>
          <w:p>
            <w:pPr>
              <w:pStyle w:val="Compact"/>
            </w:pPr>
            <w:r>
              <w:t xml:space="preserve">Доступы</w:t>
            </w:r>
          </w:p>
        </w:tc>
        <w:tc>
          <w:tcPr>
            <w:tcW w:w="4378" w:type="dxa"/>
          </w:tcPr>
          <w:tcPr/>
          <w:tcPr>
            <w:tcW w:w="4378" w:type="dxa"/>
          </w:tcPr>
          <w:p>
            <w:pPr>
              <w:pStyle w:val="Compact"/>
            </w:pPr>
            <w:r>
              <w:t xml:space="preserve">Автосоздание УЗ</w:t>
            </w:r>
          </w:p>
        </w:tc>
        <w:tc>
          <w:tcPr>
            <w:tcW w:w="1852" w:type="dxa"/>
          </w:tcPr>
          <w:tcPr/>
          <w:tcPr>
            <w:tcW w:w="1852" w:type="dxa"/>
          </w:tcPr>
          <w:p>
            <w:pPr>
              <w:pStyle w:val="Compact"/>
            </w:pPr>
            <w:r>
              <w:t xml:space="preserve">Средний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критические-системы-компании"/>
    <w:p>
      <w:pPr>
        <w:pStyle w:val="Heading2"/>
      </w:pPr>
      <w:r>
        <w:t xml:space="preserve">Критические системы компании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464"/>
        <w:gridCol w:w="4068"/>
        <w:gridCol w:w="1789"/>
        <w:gridCol w:w="2277"/>
      </w:tblGrid>
      <w:tr>
        <w:trPr>
          <w:tblHeader w:val="on"/>
        </w:trPr>
        <w:tc>
          <w:tcPr>
            <w:tcW w:w="146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46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406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06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Назначение</w:t>
            </w:r>
          </w:p>
        </w:tc>
        <w:tc>
          <w:tcPr>
            <w:tcW w:w="178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78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Критичность</w:t>
            </w:r>
          </w:p>
        </w:tc>
        <w:tc>
          <w:tcPr>
            <w:tcW w:w="227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27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Владелец</w:t>
            </w:r>
          </w:p>
        </w:tc>
      </w:tr>
      <w:tr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4068" w:type="dxa"/>
          </w:tcPr>
          <w:tcPr/>
          <w:tcPr>
            <w:tcW w:w="4068" w:type="dxa"/>
          </w:tcPr>
          <w:p>
            <w:pPr>
              <w:pStyle w:val="Compact"/>
            </w:pPr>
            <w:r>
              <w:t xml:space="preserve">Бронирование, заявки</w:t>
            </w:r>
          </w:p>
        </w:tc>
        <w:tc>
          <w:tcPr>
            <w:tcW w:w="1789" w:type="dxa"/>
          </w:tcPr>
          <w:tcPr/>
          <w:tcPr>
            <w:tcW w:w="1789" w:type="dxa"/>
          </w:tcPr>
          <w:p>
            <w:pPr>
              <w:pStyle w:val="Compact"/>
            </w:pPr>
            <w:r>
              <w:t xml:space="preserve">Критическая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IT + САМО-софт</w:t>
            </w:r>
          </w:p>
        </w:tc>
      </w:tr>
      <w:tr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4068" w:type="dxa"/>
          </w:tcPr>
          <w:tcPr/>
          <w:tcPr>
            <w:tcW w:w="4068" w:type="dxa"/>
          </w:tcPr>
          <w:p>
            <w:pPr>
              <w:pStyle w:val="Compact"/>
            </w:pPr>
            <w:r>
              <w:t xml:space="preserve">CRM, задачи, коммуникации</w:t>
            </w:r>
          </w:p>
        </w:tc>
        <w:tc>
          <w:tcPr>
            <w:tcW w:w="1789" w:type="dxa"/>
          </w:tcPr>
          <w:tcPr/>
          <w:tcPr>
            <w:tcW w:w="1789" w:type="dxa"/>
          </w:tcPr>
          <w:p>
            <w:pPr>
              <w:pStyle w:val="Compact"/>
            </w:pPr>
            <w:r>
              <w:t xml:space="preserve">Критическая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IT</w:t>
            </w:r>
          </w:p>
        </w:tc>
      </w:tr>
      <w:tr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1С</w:t>
            </w:r>
          </w:p>
        </w:tc>
        <w:tc>
          <w:tcPr>
            <w:tcW w:w="4068" w:type="dxa"/>
          </w:tcPr>
          <w:tcPr/>
          <w:tcPr>
            <w:tcW w:w="4068" w:type="dxa"/>
          </w:tcPr>
          <w:p>
            <w:pPr>
              <w:pStyle w:val="Compact"/>
            </w:pPr>
            <w:r>
              <w:t xml:space="preserve">Бухгалтерия, финансы</w:t>
            </w:r>
          </w:p>
        </w:tc>
        <w:tc>
          <w:tcPr>
            <w:tcW w:w="1789" w:type="dxa"/>
          </w:tcPr>
          <w:tcPr/>
          <w:tcPr>
            <w:tcW w:w="1789" w:type="dxa"/>
          </w:tcPr>
          <w:p>
            <w:pPr>
              <w:pStyle w:val="Compact"/>
            </w:pPr>
            <w:r>
              <w:t xml:space="preserve">Критическая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IT + Финансы</w:t>
            </w:r>
          </w:p>
        </w:tc>
      </w:tr>
      <w:tr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Outlook</w:t>
            </w:r>
          </w:p>
        </w:tc>
        <w:tc>
          <w:tcPr>
            <w:tcW w:w="4068" w:type="dxa"/>
          </w:tcPr>
          <w:tcPr/>
          <w:tcPr>
            <w:tcW w:w="4068" w:type="dxa"/>
          </w:tcPr>
          <w:p>
            <w:pPr>
              <w:pStyle w:val="Compact"/>
            </w:pPr>
            <w:r>
              <w:t xml:space="preserve">Почта, календарь</w:t>
            </w:r>
          </w:p>
        </w:tc>
        <w:tc>
          <w:tcPr>
            <w:tcW w:w="1789" w:type="dxa"/>
          </w:tcPr>
          <w:tcPr/>
          <w:tcPr>
            <w:tcW w:w="1789" w:type="dxa"/>
          </w:tcPr>
          <w:p>
            <w:pPr>
              <w:pStyle w:val="Compact"/>
            </w:pPr>
            <w:r>
              <w:t xml:space="preserve">Высокая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IT</w:t>
            </w:r>
          </w:p>
        </w:tc>
      </w:tr>
      <w:tr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ETM</w:t>
            </w:r>
          </w:p>
        </w:tc>
        <w:tc>
          <w:tcPr>
            <w:tcW w:w="4068" w:type="dxa"/>
          </w:tcPr>
          <w:tcPr/>
          <w:tcPr>
            <w:tcW w:w="4068" w:type="dxa"/>
          </w:tcPr>
          <w:p>
            <w:pPr>
              <w:pStyle w:val="Compact"/>
            </w:pPr>
            <w:r>
              <w:t xml:space="preserve">Бизнес-тревел</w:t>
            </w:r>
          </w:p>
        </w:tc>
        <w:tc>
          <w:tcPr>
            <w:tcW w:w="1789" w:type="dxa"/>
          </w:tcPr>
          <w:tcPr/>
          <w:tcPr>
            <w:tcW w:w="1789" w:type="dxa"/>
          </w:tcPr>
          <w:p>
            <w:pPr>
              <w:pStyle w:val="Compact"/>
            </w:pPr>
            <w:r>
              <w:t xml:space="preserve">Высокая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IT + MICE</w:t>
            </w:r>
          </w:p>
        </w:tc>
      </w:tr>
      <w:tr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Телефония</w:t>
            </w:r>
          </w:p>
        </w:tc>
        <w:tc>
          <w:tcPr>
            <w:tcW w:w="4068" w:type="dxa"/>
          </w:tcPr>
          <w:tcPr/>
          <w:tcPr>
            <w:tcW w:w="4068" w:type="dxa"/>
          </w:tcPr>
          <w:p>
            <w:pPr>
              <w:pStyle w:val="Compact"/>
            </w:pPr>
            <w:r>
              <w:t xml:space="preserve">Связь с клиентами</w:t>
            </w:r>
          </w:p>
        </w:tc>
        <w:tc>
          <w:tcPr>
            <w:tcW w:w="1789" w:type="dxa"/>
          </w:tcPr>
          <w:tcPr/>
          <w:tcPr>
            <w:tcW w:w="1789" w:type="dxa"/>
          </w:tcPr>
          <w:p>
            <w:pPr>
              <w:pStyle w:val="Compact"/>
            </w:pPr>
            <w:r>
              <w:t xml:space="preserve">Критическая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IT</w:t>
            </w:r>
          </w:p>
        </w:tc>
      </w:tr>
      <w:tr>
        <w:tc>
          <w:tcPr>
            <w:tcW w:w="1464" w:type="dxa"/>
          </w:tcPr>
          <w:tcPr/>
          <w:tcPr>
            <w:tcW w:w="1464" w:type="dxa"/>
          </w:tcPr>
          <w:p>
            <w:pPr>
              <w:pStyle w:val="Compact"/>
            </w:pPr>
            <w:r>
              <w:t xml:space="preserve">Сайт</w:t>
            </w:r>
          </w:p>
        </w:tc>
        <w:tc>
          <w:tcPr>
            <w:tcW w:w="4068" w:type="dxa"/>
          </w:tcPr>
          <w:tcPr/>
          <w:tcPr>
            <w:tcW w:w="4068" w:type="dxa"/>
          </w:tcPr>
          <w:p>
            <w:pPr>
              <w:pStyle w:val="Compact"/>
            </w:pPr>
            <w:r>
              <w:t xml:space="preserve">Витрина, бронирование</w:t>
            </w:r>
          </w:p>
        </w:tc>
        <w:tc>
          <w:tcPr>
            <w:tcW w:w="1789" w:type="dxa"/>
          </w:tcPr>
          <w:tcPr/>
          <w:tcPr>
            <w:tcW w:w="1789" w:type="dxa"/>
          </w:tcPr>
          <w:p>
            <w:pPr>
              <w:pStyle w:val="Compact"/>
            </w:pPr>
            <w:r>
              <w:t xml:space="preserve">Критическая</w:t>
            </w:r>
          </w:p>
        </w:tc>
        <w:tc>
          <w:tcPr>
            <w:tcW w:w="2277" w:type="dxa"/>
          </w:tcPr>
          <w:tcPr/>
          <w:tcPr>
            <w:tcW w:w="2277" w:type="dxa"/>
          </w:tcPr>
          <w:p>
            <w:pPr>
              <w:pStyle w:val="Compact"/>
            </w:pPr>
            <w:r>
              <w:t xml:space="preserve">IT + Маркетинг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рекомендации"/>
    <w:p>
      <w:pPr>
        <w:pStyle w:val="Heading2"/>
      </w:pPr>
      <w:r>
        <w:t xml:space="preserve">Рекомендации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272"/>
        <w:gridCol w:w="4858"/>
        <w:gridCol w:w="3469"/>
      </w:tblGrid>
      <w:tr>
        <w:trPr>
          <w:tblHeader w:val="on"/>
        </w:trPr>
        <w:tc>
          <w:tcPr>
            <w:tcW w:w="127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27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485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85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Рекомендация</w:t>
            </w:r>
          </w:p>
        </w:tc>
        <w:tc>
          <w:tcPr>
            <w:tcW w:w="346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46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>
            <w:tcW w:w="1272" w:type="dxa"/>
          </w:tcPr>
          <w:tcPr/>
          <w:tcPr>
            <w:tcW w:w="1272" w:type="dxa"/>
          </w:tcPr>
          <w:p>
            <w:pPr>
              <w:pStyle w:val="Compact"/>
            </w:pPr>
            <w:r>
              <w:t xml:space="preserve">Критический</w:t>
            </w:r>
          </w:p>
        </w:tc>
        <w:tc>
          <w:tcPr>
            <w:tcW w:w="4858" w:type="dxa"/>
          </w:tcPr>
          <w:tcPr/>
          <w:tcPr>
            <w:tcW w:w="4858" w:type="dxa"/>
          </w:tcPr>
          <w:p>
            <w:pPr>
              <w:pStyle w:val="Compact"/>
            </w:pPr>
            <w:r>
              <w:t xml:space="preserve">Внедрить AI-помощник для типовых вопросов</w:t>
            </w:r>
          </w:p>
        </w:tc>
        <w:tc>
          <w:tcPr>
            <w:tcW w:w="3469" w:type="dxa"/>
          </w:tcPr>
          <w:tcPr/>
          <w:tcPr>
            <w:tcW w:w="3469" w:type="dxa"/>
          </w:tcPr>
          <w:p>
            <w:pPr>
              <w:pStyle w:val="Compact"/>
            </w:pPr>
            <w:r>
              <w:t xml:space="preserve">Снижение нагрузки на 40%</w:t>
            </w:r>
          </w:p>
        </w:tc>
      </w:tr>
      <w:tr>
        <w:tc>
          <w:tcPr>
            <w:tcW w:w="1272" w:type="dxa"/>
          </w:tcPr>
          <w:tcPr/>
          <w:tcPr>
            <w:tcW w:w="1272" w:type="dxa"/>
          </w:tcPr>
          <w:p>
            <w:pPr>
              <w:pStyle w:val="Compact"/>
            </w:pPr>
            <w:r>
              <w:t xml:space="preserve">Критический</w:t>
            </w:r>
          </w:p>
        </w:tc>
        <w:tc>
          <w:tcPr>
            <w:tcW w:w="4858" w:type="dxa"/>
          </w:tcPr>
          <w:tcPr/>
          <w:tcPr>
            <w:tcW w:w="4858" w:type="dxa"/>
          </w:tcPr>
          <w:p>
            <w:pPr>
              <w:pStyle w:val="Compact"/>
            </w:pPr>
            <w:r>
              <w:t xml:space="preserve">Создать базу знаний с умным поиском</w:t>
            </w:r>
          </w:p>
        </w:tc>
        <w:tc>
          <w:tcPr>
            <w:tcW w:w="3469" w:type="dxa"/>
          </w:tcPr>
          <w:tcPr/>
          <w:tcPr>
            <w:tcW w:w="3469" w:type="dxa"/>
          </w:tcPr>
          <w:p>
            <w:pPr>
              <w:pStyle w:val="Compact"/>
            </w:pPr>
            <w:r>
              <w:t xml:space="preserve">Самообслуживание, -30% тикетов</w:t>
            </w:r>
          </w:p>
        </w:tc>
      </w:tr>
      <w:tr>
        <w:tc>
          <w:tcPr>
            <w:tcW w:w="1272" w:type="dxa"/>
          </w:tcPr>
          <w:tcPr/>
          <w:tcPr>
            <w:tcW w:w="1272" w:type="dxa"/>
          </w:tcPr>
          <w:p>
            <w:pPr>
              <w:pStyle w:val="Compact"/>
            </w:pPr>
            <w:r>
              <w:t xml:space="preserve">Критический</w:t>
            </w:r>
          </w:p>
        </w:tc>
        <w:tc>
          <w:tcPr>
            <w:tcW w:w="4858" w:type="dxa"/>
          </w:tcPr>
          <w:tcPr/>
          <w:tcPr>
            <w:tcW w:w="4858" w:type="dxa"/>
          </w:tcPr>
          <w:p>
            <w:pPr>
              <w:pStyle w:val="Compact"/>
            </w:pPr>
            <w:r>
              <w:t xml:space="preserve">Система приоритизации задач</w:t>
            </w:r>
          </w:p>
        </w:tc>
        <w:tc>
          <w:tcPr>
            <w:tcW w:w="3469" w:type="dxa"/>
          </w:tcPr>
          <w:tcPr/>
          <w:tcPr>
            <w:tcW w:w="3469" w:type="dxa"/>
          </w:tcPr>
          <w:p>
            <w:pPr>
              <w:pStyle w:val="Compact"/>
            </w:pPr>
            <w:r>
              <w:t xml:space="preserve">Фокус на критичных для выручки</w:t>
            </w:r>
          </w:p>
        </w:tc>
      </w:tr>
      <w:tr>
        <w:tc>
          <w:tcPr>
            <w:tcW w:w="1272" w:type="dxa"/>
          </w:tcPr>
          <w:tcPr/>
          <w:tcPr>
            <w:tcW w:w="1272" w:type="dxa"/>
          </w:tcPr>
          <w:p>
            <w:pPr>
              <w:pStyle w:val="Compact"/>
            </w:pPr>
            <w:r>
              <w:t xml:space="preserve">Высокий</w:t>
            </w:r>
          </w:p>
        </w:tc>
        <w:tc>
          <w:tcPr>
            <w:tcW w:w="4858" w:type="dxa"/>
          </w:tcPr>
          <w:tcPr/>
          <w:tcPr>
            <w:tcW w:w="4858" w:type="dxa"/>
          </w:tcPr>
          <w:p>
            <w:pPr>
              <w:pStyle w:val="Compact"/>
            </w:pPr>
            <w:r>
              <w:t xml:space="preserve">Автоматизация согласований через Битрикс24</w:t>
            </w:r>
          </w:p>
        </w:tc>
        <w:tc>
          <w:tcPr>
            <w:tcW w:w="3469" w:type="dxa"/>
          </w:tcPr>
          <w:tcPr/>
          <w:tcPr>
            <w:tcW w:w="3469" w:type="dxa"/>
          </w:tcPr>
          <w:p>
            <w:pPr>
              <w:pStyle w:val="Compact"/>
            </w:pPr>
            <w:r>
              <w:t xml:space="preserve">Ускорение внедрений на 30%</w:t>
            </w:r>
          </w:p>
        </w:tc>
      </w:tr>
      <w:tr>
        <w:tc>
          <w:tcPr>
            <w:tcW w:w="1272" w:type="dxa"/>
          </w:tcPr>
          <w:tcPr/>
          <w:tcPr>
            <w:tcW w:w="1272" w:type="dxa"/>
          </w:tcPr>
          <w:p>
            <w:pPr>
              <w:pStyle w:val="Compact"/>
            </w:pPr>
            <w:r>
              <w:t xml:space="preserve">Высокий</w:t>
            </w:r>
          </w:p>
        </w:tc>
        <w:tc>
          <w:tcPr>
            <w:tcW w:w="4858" w:type="dxa"/>
          </w:tcPr>
          <w:tcPr/>
          <w:tcPr>
            <w:tcW w:w="4858" w:type="dxa"/>
          </w:tcPr>
          <w:p>
            <w:pPr>
              <w:pStyle w:val="Compact"/>
            </w:pPr>
            <w:r>
              <w:t xml:space="preserve">Интеграция с HR для автосоздания УЗ</w:t>
            </w:r>
          </w:p>
        </w:tc>
        <w:tc>
          <w:tcPr>
            <w:tcW w:w="3469" w:type="dxa"/>
          </w:tcPr>
          <w:tcPr/>
          <w:tcPr>
            <w:tcW w:w="3469" w:type="dxa"/>
          </w:tcPr>
          <w:p>
            <w:pPr>
              <w:pStyle w:val="Compact"/>
            </w:pPr>
            <w:r>
              <w:t xml:space="preserve">Снижение ошибок и задержек</w:t>
            </w:r>
          </w:p>
        </w:tc>
      </w:tr>
      <w:tr>
        <w:tc>
          <w:tcPr>
            <w:tcW w:w="1272" w:type="dxa"/>
          </w:tcPr>
          <w:tcPr/>
          <w:tcPr>
            <w:tcW w:w="1272" w:type="dxa"/>
          </w:tcPr>
          <w:p>
            <w:pPr>
              <w:pStyle w:val="Compact"/>
            </w:pPr>
            <w:r>
              <w:t xml:space="preserve">Средний</w:t>
            </w:r>
          </w:p>
        </w:tc>
        <w:tc>
          <w:tcPr>
            <w:tcW w:w="4858" w:type="dxa"/>
          </w:tcPr>
          <w:tcPr/>
          <w:tcPr>
            <w:tcW w:w="4858" w:type="dxa"/>
          </w:tcPr>
          <w:p>
            <w:pPr>
              <w:pStyle w:val="Compact"/>
            </w:pPr>
            <w:r>
              <w:t xml:space="preserve">Шаблоны интеграций для типовых партнёров</w:t>
            </w:r>
          </w:p>
        </w:tc>
        <w:tc>
          <w:tcPr>
            <w:tcW w:w="3469" w:type="dxa"/>
          </w:tcPr>
          <w:tcPr/>
          <w:tcPr>
            <w:tcW w:w="3469" w:type="dxa"/>
          </w:tcPr>
          <w:p>
            <w:pPr>
              <w:pStyle w:val="Compact"/>
            </w:pPr>
            <w:r>
              <w:t xml:space="preserve">Ускорение подключения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риски"/>
    <w:p>
      <w:pPr>
        <w:pStyle w:val="Heading2"/>
      </w:pPr>
      <w:r>
        <w:t xml:space="preserve">Риски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116"/>
        <w:gridCol w:w="1371"/>
        <w:gridCol w:w="1371"/>
        <w:gridCol w:w="3740"/>
      </w:tblGrid>
      <w:tr>
        <w:trPr>
          <w:tblHeader w:val="on"/>
        </w:trPr>
        <w:tc>
          <w:tcPr>
            <w:tcW w:w="311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11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37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37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137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37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374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74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t xml:space="preserve">Уход ключевого сотрудника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Критическое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Документирование, дублирование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t xml:space="preserve">Сбой САМО-тур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Критическое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SLA с САМО-софт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t xml:space="preserve">Кибератака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Критическое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Аудиты безопасности</w:t>
            </w:r>
          </w:p>
        </w:tc>
      </w:tr>
      <w:tr>
        <w:tc>
          <w:tcPr>
            <w:tcW w:w="3116" w:type="dxa"/>
          </w:tcPr>
          <w:tcPr/>
          <w:tcPr>
            <w:tcW w:w="3116" w:type="dxa"/>
          </w:tcPr>
          <w:p>
            <w:pPr>
              <w:pStyle w:val="Compact"/>
            </w:pPr>
            <w:r>
              <w:t xml:space="preserve">Перегрузка IT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Высокая</w:t>
            </w:r>
          </w:p>
        </w:tc>
        <w:tc>
          <w:tcPr>
            <w:tcW w:w="1371" w:type="dxa"/>
          </w:tcPr>
          <w:tcPr/>
          <w:tcPr>
            <w:tcW w:w="1371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3740" w:type="dxa"/>
          </w:tcPr>
          <w:tcPr/>
          <w:tcPr>
            <w:tcW w:w="3740" w:type="dxa"/>
          </w:tcPr>
          <w:p>
            <w:pPr>
              <w:pStyle w:val="Compact"/>
            </w:pPr>
            <w:r>
              <w:t xml:space="preserve">Приоритизация, подрядчики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2026-02-28T17:40:57Z</dcterms:created>
  <dcterms:modified xsi:type="dcterms:W3CDTF">2026-02-28T17:40:57Z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