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тз-21-франчайзинг"/>
    <w:p>
      <w:pPr>
        <w:pStyle w:val="Heading1"/>
      </w:pPr>
      <w:r>
        <w:t xml:space="preserve">ТЗ-21: Франчайзинг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241"/>
        <w:gridCol w:w="5358"/>
      </w:tblGrid>
      <w:tr>
        <w:trPr>
          <w:tblHeader w:val="on"/>
        </w:trPr>
        <w:tc>
          <w:tcPr>
            <w:tcW w:w="4241" w:type="dxa"/>
            <w:shd w:val="clear" w:color="auto" w:fill="D9E2F3"/>
          </w:tcPr>
          <w:tcPr/>
          <w:tcPr>
            <w:tcW w:w="4241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5358" w:type="dxa"/>
            <w:shd w:val="clear" w:color="auto" w:fill="D9E2F3"/>
          </w:tcPr>
          <w:tcPr/>
          <w:tcPr>
            <w:tcW w:w="5358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4241" w:type="dxa"/>
          </w:tcPr>
          <w:tcPr/>
          <w:tcPr>
            <w:tcW w:w="42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TZ-21</w:t>
            </w:r>
          </w:p>
        </w:tc>
      </w:tr>
      <w:tr>
        <w:tc>
          <w:tcPr>
            <w:tcW w:w="4241" w:type="dxa"/>
          </w:tcPr>
          <w:tcPr/>
          <w:tcPr>
            <w:tcW w:w="42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AUTO-046</w:t>
            </w:r>
          </w:p>
        </w:tc>
      </w:tr>
      <w:tr>
        <w:tc>
          <w:tcPr>
            <w:tcW w:w="4241" w:type="dxa"/>
          </w:tcPr>
          <w:tcPr/>
          <w:tcPr>
            <w:tcW w:w="42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Волна 4 — Развитие</w:t>
            </w:r>
          </w:p>
        </w:tc>
      </w:tr>
      <w:tr>
        <w:tc>
          <w:tcPr>
            <w:tcW w:w="4241" w:type="dxa"/>
          </w:tcPr>
          <w:tcPr/>
          <w:tcPr>
            <w:tcW w:w="42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Доступ к API U-ON.Travel</w:t>
            </w:r>
          </w:p>
        </w:tc>
      </w:tr>
      <w:tr>
        <w:tc>
          <w:tcPr>
            <w:tcW w:w="4241" w:type="dxa"/>
          </w:tcPr>
          <w:tcPr/>
          <w:tcPr>
            <w:tcW w:w="42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TZ-01 (интеграция САМО)</w:t>
            </w:r>
          </w:p>
        </w:tc>
      </w:tr>
      <w:tr>
        <w:tc>
          <w:tcPr>
            <w:tcW w:w="4241" w:type="dxa"/>
          </w:tcPr>
          <w:tcPr/>
          <w:tcPr>
            <w:tcW w:w="42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Мурадян О.Ю.</w:t>
            </w:r>
          </w:p>
        </w:tc>
      </w:tr>
      <w:tr>
        <w:tc>
          <w:tcPr>
            <w:tcW w:w="4241" w:type="dxa"/>
          </w:tcPr>
          <w:tcPr/>
          <w:tcPr>
            <w:tcW w:w="42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17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проблема-as-is"/>
    <w:p>
      <w:pPr>
        <w:pStyle w:val="Heading2"/>
      </w:pPr>
      <w:r>
        <w:t xml:space="preserve">2. Проблема (AS-IS)</w:t>
      </w:r>
    </w:p>
    <w:bookmarkStart w:id="10" w:name="текущее-состояние"/>
    <w:p>
      <w:pPr>
        <w:pStyle w:val="Heading3"/>
      </w:pPr>
      <w:r>
        <w:t xml:space="preserve">2.1. Текущее состояние</w:t>
      </w:r>
    </w:p>
    <w:p>
      <w:pPr>
        <w:pStyle w:val="FirstParagraph"/>
      </w:pPr>
      <w:r>
        <w:rPr>
          <w:b/>
          <w:bCs/>
        </w:rPr>
        <w:t xml:space="preserve">AUTO-046: Автоматизация работы с франчайзи</w:t>
      </w:r>
      <w:r>
        <w:t xml:space="preserve"> </w:t>
      </w:r>
      <w:r>
        <w:t xml:space="preserve">- Ручной обмен данными с франчайзи через U-ON.Travel</w:t>
      </w:r>
      <w:r>
        <w:t xml:space="preserve"> </w:t>
      </w:r>
      <w:r>
        <w:t xml:space="preserve">- Время выполнения: 17 ч/мес</w:t>
      </w:r>
      <w:r>
        <w:t xml:space="preserve"> </w:t>
      </w:r>
      <w:r>
        <w:t xml:space="preserve">- Нет единой аналитики по сети франчайзи</w:t>
      </w:r>
    </w:p>
    <w:bookmarkEnd w:id="10"/>
    <w:bookmarkStart w:id="11" w:name="детализация-проблемы"/>
    <w:p>
      <w:pPr>
        <w:pStyle w:val="Heading3"/>
      </w:pPr>
      <w:r>
        <w:t xml:space="preserve">2.2. Детализация проблемы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Текущий процесс:</w:t>
      </w:r>
    </w:p>
    <w:p>
      <w:pPr>
        <w:pStyle w:val="Compact"/>
        <w:numPr>
          <w:ilvl w:val="1"/>
          <w:numId w:val="1002"/>
        </w:numPr>
      </w:pPr>
      <w:r>
        <w:t xml:space="preserve">Франчайзи работают в U-ON.Travel (отдельная система)</w:t>
      </w:r>
    </w:p>
    <w:p>
      <w:pPr>
        <w:pStyle w:val="Compact"/>
        <w:numPr>
          <w:ilvl w:val="1"/>
          <w:numId w:val="1002"/>
        </w:numPr>
      </w:pPr>
      <w:r>
        <w:t xml:space="preserve">Данные о продажах передаются вручную (Excel)</w:t>
      </w:r>
    </w:p>
    <w:p>
      <w:pPr>
        <w:pStyle w:val="Compact"/>
        <w:numPr>
          <w:ilvl w:val="1"/>
          <w:numId w:val="1002"/>
        </w:numPr>
      </w:pPr>
      <w:r>
        <w:t xml:space="preserve">Отчётность формируется с задержкой 1-2 недели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Масштаб:</w:t>
      </w:r>
    </w:p>
    <w:p>
      <w:pPr>
        <w:pStyle w:val="Compact"/>
        <w:numPr>
          <w:ilvl w:val="1"/>
          <w:numId w:val="1003"/>
        </w:numPr>
      </w:pPr>
      <w:r>
        <w:t xml:space="preserve">~10 активных франчайзи</w:t>
      </w:r>
    </w:p>
    <w:p>
      <w:pPr>
        <w:pStyle w:val="Compact"/>
        <w:numPr>
          <w:ilvl w:val="1"/>
          <w:numId w:val="1003"/>
        </w:numPr>
      </w:pPr>
      <w:r>
        <w:t xml:space="preserve">~200 заявок в месяц через франчайзи</w:t>
      </w:r>
    </w:p>
    <w:p>
      <w:pPr>
        <w:pStyle w:val="Compact"/>
        <w:numPr>
          <w:ilvl w:val="1"/>
          <w:numId w:val="1003"/>
        </w:numPr>
      </w:pPr>
      <w:r>
        <w:t xml:space="preserve">~5% выручки компании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Проблемы:</w:t>
      </w:r>
    </w:p>
    <w:p>
      <w:pPr>
        <w:pStyle w:val="Compact"/>
        <w:numPr>
          <w:ilvl w:val="1"/>
          <w:numId w:val="1004"/>
        </w:numPr>
      </w:pPr>
      <w:r>
        <w:t xml:space="preserve">Нет оперативного контроля продаж франчайзи</w:t>
      </w:r>
    </w:p>
    <w:p>
      <w:pPr>
        <w:pStyle w:val="Compact"/>
        <w:numPr>
          <w:ilvl w:val="1"/>
          <w:numId w:val="1004"/>
        </w:numPr>
      </w:pPr>
      <w:r>
        <w:t xml:space="preserve">Сложность расчёта роялти</w:t>
      </w:r>
    </w:p>
    <w:p>
      <w:pPr>
        <w:pStyle w:val="Compact"/>
        <w:numPr>
          <w:ilvl w:val="1"/>
          <w:numId w:val="1004"/>
        </w:numPr>
      </w:pPr>
      <w:r>
        <w:t xml:space="preserve">Дублирование данных в двух системах</w:t>
      </w:r>
    </w:p>
    <w:bookmarkEnd w:id="11"/>
    <w:bookmarkStart w:id="12" w:name="боли-пользователей"/>
    <w:p>
      <w:pPr>
        <w:pStyle w:val="Heading3"/>
      </w:pPr>
      <w:r>
        <w:t xml:space="preserve">2.3. Боли пользователей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Отдел агентств:</w:t>
      </w:r>
      <w:r>
        <w:t xml:space="preserve"> </w:t>
      </w:r>
      <w:r>
        <w:t xml:space="preserve">Ручной сбор отчётов, ошибки в данных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Финансы:</w:t>
      </w:r>
      <w:r>
        <w:t xml:space="preserve"> </w:t>
      </w:r>
      <w:r>
        <w:t xml:space="preserve">Сложность расчёта роялти, сверки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Франчайзи:</w:t>
      </w:r>
      <w:r>
        <w:t xml:space="preserve"> </w:t>
      </w:r>
      <w:r>
        <w:t xml:space="preserve">Нет удобного доступа к маркетинговым материалам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цель-to-be"/>
    <w:p>
      <w:pPr>
        <w:pStyle w:val="Heading2"/>
      </w:pPr>
      <w:r>
        <w:t xml:space="preserve">3. Цель (TO-BE)</w:t>
      </w:r>
    </w:p>
    <w:bookmarkStart w:id="14" w:name="целевое-состояние"/>
    <w:p>
      <w:pPr>
        <w:pStyle w:val="Heading3"/>
      </w:pPr>
      <w:r>
        <w:t xml:space="preserve">3.1. Целевое состояние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Автоматическая синхронизация</w:t>
      </w:r>
      <w:r>
        <w:t xml:space="preserve"> </w:t>
      </w:r>
      <w:r>
        <w:t xml:space="preserve">— U-ON.Travel → САМО/Б24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Дашборд франчайзинга</w:t>
      </w:r>
      <w:r>
        <w:t xml:space="preserve"> </w:t>
      </w:r>
      <w:r>
        <w:t xml:space="preserve">— продажи, конверсия, роялти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Портал франчайзи</w:t>
      </w:r>
      <w:r>
        <w:t xml:space="preserve"> </w:t>
      </w:r>
      <w:r>
        <w:t xml:space="preserve">— материалы, обучение, поддержка</w:t>
      </w:r>
    </w:p>
    <w:bookmarkEnd w:id="14"/>
    <w:bookmarkStart w:id="15" w:name="ожидаемые-результаты"/>
    <w:p>
      <w:pPr>
        <w:pStyle w:val="Heading3"/>
      </w:pPr>
      <w:r>
        <w:t xml:space="preserve">3.2. Ожидаемые результаты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224"/>
        <w:gridCol w:w="1920"/>
        <w:gridCol w:w="1728"/>
        <w:gridCol w:w="1728"/>
      </w:tblGrid>
      <w:tr>
        <w:trPr>
          <w:tblHeader w:val="on"/>
        </w:trPr>
        <w:tc>
          <w:tcPr>
            <w:tcW w:w="4224" w:type="dxa"/>
            <w:shd w:val="clear" w:color="auto" w:fill="D9E2F3"/>
          </w:tcPr>
          <w:tcPr/>
          <w:tcPr>
            <w:tcW w:w="4224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AS-IS</w:t>
            </w:r>
          </w:p>
        </w:tc>
        <w:tc>
          <w:tcPr>
            <w:tcW w:w="1728" w:type="dxa"/>
            <w:shd w:val="clear" w:color="auto" w:fill="D9E2F3"/>
          </w:tcPr>
          <w:tcPr/>
          <w:tcPr>
            <w:tcW w:w="1728" w:type="dxa"/>
            <w:shd w:val="clear" w:color="auto" w:fill="D9E2F3"/>
          </w:tcPr>
          <w:p>
            <w:pPr>
              <w:pStyle w:val="Compact"/>
            </w:pPr>
            <w:r>
              <w:t xml:space="preserve">TO-BE</w:t>
            </w:r>
          </w:p>
        </w:tc>
        <w:tc>
          <w:tcPr>
            <w:tcW w:w="1728" w:type="dxa"/>
            <w:shd w:val="clear" w:color="auto" w:fill="D9E2F3"/>
          </w:tcPr>
          <w:tcPr/>
          <w:tcPr>
            <w:tcW w:w="1728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4224" w:type="dxa"/>
          </w:tcPr>
          <w:tcPr/>
          <w:tcPr>
            <w:tcW w:w="4224" w:type="dxa"/>
          </w:tcPr>
          <w:p>
            <w:pPr>
              <w:pStyle w:val="Compact"/>
            </w:pPr>
            <w:r>
              <w:t xml:space="preserve">Ручной обмен данными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17 ч/мес</w:t>
            </w:r>
          </w:p>
        </w:tc>
        <w:tc>
          <w:tcPr>
            <w:tcW w:w="1728" w:type="dxa"/>
          </w:tcPr>
          <w:tcPr/>
          <w:tcPr>
            <w:tcW w:w="1728" w:type="dxa"/>
          </w:tcPr>
          <w:p>
            <w:pPr>
              <w:pStyle w:val="Compact"/>
            </w:pPr>
            <w:r>
              <w:t xml:space="preserve">4 ч/мес</w:t>
            </w:r>
          </w:p>
        </w:tc>
        <w:tc>
          <w:tcPr>
            <w:tcW w:w="1728" w:type="dxa"/>
          </w:tcPr>
          <w:tcPr/>
          <w:tcPr>
            <w:tcW w:w="1728" w:type="dxa"/>
          </w:tcPr>
          <w:p>
            <w:pPr>
              <w:pStyle w:val="Compact"/>
            </w:pPr>
            <w:r>
              <w:t xml:space="preserve">-76%</w:t>
            </w:r>
          </w:p>
        </w:tc>
      </w:tr>
      <w:tr>
        <w:tc>
          <w:tcPr>
            <w:tcW w:w="4224" w:type="dxa"/>
          </w:tcPr>
          <w:tcPr/>
          <w:tcPr>
            <w:tcW w:w="4224" w:type="dxa"/>
          </w:tcPr>
          <w:p>
            <w:pPr>
              <w:pStyle w:val="Compact"/>
            </w:pPr>
            <w:r>
              <w:t xml:space="preserve">Задержка отчётности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1-2 недели</w:t>
            </w:r>
          </w:p>
        </w:tc>
        <w:tc>
          <w:tcPr>
            <w:tcW w:w="1728" w:type="dxa"/>
          </w:tcPr>
          <w:tcPr/>
          <w:tcPr>
            <w:tcW w:w="1728" w:type="dxa"/>
          </w:tcPr>
          <w:p>
            <w:pPr>
              <w:pStyle w:val="Compact"/>
            </w:pPr>
            <w:r>
              <w:t xml:space="preserve">1 день</w:t>
            </w:r>
          </w:p>
        </w:tc>
        <w:tc>
          <w:tcPr>
            <w:tcW w:w="1728" w:type="dxa"/>
          </w:tcPr>
          <w:tcPr/>
          <w:tcPr>
            <w:tcW w:w="1728" w:type="dxa"/>
          </w:tcPr>
          <w:p>
            <w:pPr>
              <w:pStyle w:val="Compact"/>
            </w:pPr>
            <w:r>
              <w:t xml:space="preserve">-90%</w:t>
            </w:r>
          </w:p>
        </w:tc>
      </w:tr>
      <w:tr>
        <w:tc>
          <w:tcPr>
            <w:tcW w:w="4224" w:type="dxa"/>
          </w:tcPr>
          <w:tcPr/>
          <w:tcPr>
            <w:tcW w:w="4224" w:type="dxa"/>
          </w:tcPr>
          <w:p>
            <w:pPr>
              <w:pStyle w:val="Compact"/>
            </w:pPr>
            <w:r>
              <w:t xml:space="preserve">Время на расчёт роялти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3 ч/мес</w:t>
            </w:r>
          </w:p>
        </w:tc>
        <w:tc>
          <w:tcPr>
            <w:tcW w:w="1728" w:type="dxa"/>
          </w:tcPr>
          <w:tcPr/>
          <w:tcPr>
            <w:tcW w:w="1728" w:type="dxa"/>
          </w:tcPr>
          <w:p>
            <w:pPr>
              <w:pStyle w:val="Compact"/>
            </w:pPr>
            <w:r>
              <w:t xml:space="preserve">0.5 ч/мес</w:t>
            </w:r>
          </w:p>
        </w:tc>
        <w:tc>
          <w:tcPr>
            <w:tcW w:w="1728" w:type="dxa"/>
          </w:tcPr>
          <w:tcPr/>
          <w:tcPr>
            <w:tcW w:w="1728" w:type="dxa"/>
          </w:tcPr>
          <w:p>
            <w:pPr>
              <w:pStyle w:val="Compact"/>
            </w:pPr>
            <w:r>
              <w:t xml:space="preserve">-83%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объём-работ"/>
    <w:p>
      <w:pPr>
        <w:pStyle w:val="Heading2"/>
      </w:pPr>
      <w:r>
        <w:t xml:space="preserve">4. Объём работ</w:t>
      </w:r>
    </w:p>
    <w:bookmarkStart w:id="17" w:name="включено-в-тз"/>
    <w:p>
      <w:pPr>
        <w:pStyle w:val="Heading3"/>
      </w:pPr>
      <w:r>
        <w:t xml:space="preserve">4.1. Включено в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7"/>
        <w:gridCol w:w="3304"/>
        <w:gridCol w:w="5547"/>
      </w:tblGrid>
      <w:tr>
        <w:trPr>
          <w:tblHeader w:val="on"/>
        </w:trPr>
        <w:tc>
          <w:tcPr>
            <w:tcW w:w="747" w:type="dxa"/>
            <w:shd w:val="clear" w:color="auto" w:fill="D9E2F3"/>
          </w:tcPr>
          <w:tcPr/>
          <w:tcPr>
            <w:tcW w:w="747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304" w:type="dxa"/>
            <w:shd w:val="clear" w:color="auto" w:fill="D9E2F3"/>
          </w:tcPr>
          <w:tcPr/>
          <w:tcPr>
            <w:tcW w:w="3304" w:type="dxa"/>
            <w:shd w:val="clear" w:color="auto" w:fill="D9E2F3"/>
          </w:tcPr>
          <w:p>
            <w:pPr>
              <w:pStyle w:val="Compact"/>
            </w:pPr>
            <w:r>
              <w:t xml:space="preserve">Компонент</w:t>
            </w:r>
          </w:p>
        </w:tc>
        <w:tc>
          <w:tcPr>
            <w:tcW w:w="5547" w:type="dxa"/>
            <w:shd w:val="clear" w:color="auto" w:fill="D9E2F3"/>
          </w:tcPr>
          <w:tcPr/>
          <w:tcPr>
            <w:tcW w:w="5547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304" w:type="dxa"/>
          </w:tcPr>
          <w:tcPr/>
          <w:tcPr>
            <w:tcW w:w="3304" w:type="dxa"/>
          </w:tcPr>
          <w:p>
            <w:pPr>
              <w:pStyle w:val="Compact"/>
            </w:pPr>
            <w:r>
              <w:t xml:space="preserve">Интеграция U-ON ↔ САМО</w:t>
            </w:r>
          </w:p>
        </w:tc>
        <w:tc>
          <w:tcPr>
            <w:tcW w:w="5547" w:type="dxa"/>
          </w:tcPr>
          <w:tcPr/>
          <w:tcPr>
            <w:tcW w:w="5547" w:type="dxa"/>
          </w:tcPr>
          <w:p>
            <w:pPr>
              <w:pStyle w:val="Compact"/>
            </w:pPr>
            <w:r>
              <w:t xml:space="preserve">Синхронизация заявок и клиентов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304" w:type="dxa"/>
          </w:tcPr>
          <w:tcPr/>
          <w:tcPr>
            <w:tcW w:w="3304" w:type="dxa"/>
          </w:tcPr>
          <w:p>
            <w:pPr>
              <w:pStyle w:val="Compact"/>
            </w:pPr>
            <w:r>
              <w:t xml:space="preserve">Интеграция U-ON ↔ Б24</w:t>
            </w:r>
          </w:p>
        </w:tc>
        <w:tc>
          <w:tcPr>
            <w:tcW w:w="5547" w:type="dxa"/>
          </w:tcPr>
          <w:tcPr/>
          <w:tcPr>
            <w:tcW w:w="5547" w:type="dxa"/>
          </w:tcPr>
          <w:p>
            <w:pPr>
              <w:pStyle w:val="Compact"/>
            </w:pPr>
            <w:r>
              <w:t xml:space="preserve">Синхронизация лидов и сделок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304" w:type="dxa"/>
          </w:tcPr>
          <w:tcPr/>
          <w:tcPr>
            <w:tcW w:w="3304" w:type="dxa"/>
          </w:tcPr>
          <w:p>
            <w:pPr>
              <w:pStyle w:val="Compact"/>
            </w:pPr>
            <w:r>
              <w:t xml:space="preserve">Дашборд франчайзинга</w:t>
            </w:r>
          </w:p>
        </w:tc>
        <w:tc>
          <w:tcPr>
            <w:tcW w:w="5547" w:type="dxa"/>
          </w:tcPr>
          <w:tcPr/>
          <w:tcPr>
            <w:tcW w:w="5547" w:type="dxa"/>
          </w:tcPr>
          <w:p>
            <w:pPr>
              <w:pStyle w:val="Compact"/>
            </w:pPr>
            <w:r>
              <w:t xml:space="preserve">Продажи, конверсия, роялти по каждому франчайзи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304" w:type="dxa"/>
          </w:tcPr>
          <w:tcPr/>
          <w:tcPr>
            <w:tcW w:w="3304" w:type="dxa"/>
          </w:tcPr>
          <w:p>
            <w:pPr>
              <w:pStyle w:val="Compact"/>
            </w:pPr>
            <w:r>
              <w:t xml:space="preserve">Автоматический расчёт роялти</w:t>
            </w:r>
          </w:p>
        </w:tc>
        <w:tc>
          <w:tcPr>
            <w:tcW w:w="5547" w:type="dxa"/>
          </w:tcPr>
          <w:tcPr/>
          <w:tcPr>
            <w:tcW w:w="5547" w:type="dxa"/>
          </w:tcPr>
          <w:p>
            <w:pPr>
              <w:pStyle w:val="Compact"/>
            </w:pPr>
            <w:r>
              <w:t xml:space="preserve">Формула на основе продаж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304" w:type="dxa"/>
          </w:tcPr>
          <w:tcPr/>
          <w:tcPr>
            <w:tcW w:w="3304" w:type="dxa"/>
          </w:tcPr>
          <w:p>
            <w:pPr>
              <w:pStyle w:val="Compact"/>
            </w:pPr>
            <w:r>
              <w:t xml:space="preserve">Портал франчайзи</w:t>
            </w:r>
          </w:p>
        </w:tc>
        <w:tc>
          <w:tcPr>
            <w:tcW w:w="5547" w:type="dxa"/>
          </w:tcPr>
          <w:tcPr/>
          <w:tcPr>
            <w:tcW w:w="5547" w:type="dxa"/>
          </w:tcPr>
          <w:p>
            <w:pPr>
              <w:pStyle w:val="Compact"/>
            </w:pPr>
            <w:r>
              <w:t xml:space="preserve">Базовый функционал: материалы, новости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304" w:type="dxa"/>
          </w:tcPr>
          <w:tcPr/>
          <w:tcPr>
            <w:tcW w:w="3304" w:type="dxa"/>
          </w:tcPr>
          <w:p>
            <w:pPr>
              <w:pStyle w:val="Compact"/>
            </w:pPr>
            <w:r>
              <w:t xml:space="preserve">Отчёты для франчайзи</w:t>
            </w:r>
          </w:p>
        </w:tc>
        <w:tc>
          <w:tcPr>
            <w:tcW w:w="5547" w:type="dxa"/>
          </w:tcPr>
          <w:tcPr/>
          <w:tcPr>
            <w:tcW w:w="5547" w:type="dxa"/>
          </w:tcPr>
          <w:p>
            <w:pPr>
              <w:pStyle w:val="Compact"/>
            </w:pPr>
            <w:r>
              <w:t xml:space="preserve">Личная статистика, сравнение с сетью</w:t>
            </w:r>
          </w:p>
        </w:tc>
      </w:tr>
    </w:tbl>
    <w:bookmarkEnd w:id="17"/>
    <w:bookmarkStart w:id="18" w:name="исключено-из-тз"/>
    <w:p>
      <w:pPr>
        <w:pStyle w:val="Heading3"/>
      </w:pPr>
      <w:r>
        <w:t xml:space="preserve">4.2. Исключено из ТЗ</w:t>
      </w:r>
    </w:p>
    <w:p>
      <w:pPr>
        <w:pStyle w:val="Compact"/>
        <w:numPr>
          <w:ilvl w:val="0"/>
          <w:numId w:val="1007"/>
        </w:numPr>
      </w:pPr>
      <w:r>
        <w:t xml:space="preserve">Полная замена U-ON.Travel (только интеграция)</w:t>
      </w:r>
    </w:p>
    <w:p>
      <w:pPr>
        <w:pStyle w:val="Compact"/>
        <w:numPr>
          <w:ilvl w:val="0"/>
          <w:numId w:val="1007"/>
        </w:numPr>
      </w:pPr>
      <w:r>
        <w:t xml:space="preserve">Автоматические выплаты роялти (только расчёт)</w:t>
      </w:r>
    </w:p>
    <w:p>
      <w:pPr>
        <w:pStyle w:val="Compact"/>
        <w:numPr>
          <w:ilvl w:val="0"/>
          <w:numId w:val="1007"/>
        </w:numPr>
      </w:pPr>
      <w:r>
        <w:t xml:space="preserve">CRM для франчайзи (используют U-ON)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входные-и-выходные-данные"/>
    <w:p>
      <w:pPr>
        <w:pStyle w:val="Heading2"/>
      </w:pPr>
      <w:r>
        <w:t xml:space="preserve">5. Входные и выходные данные</w:t>
      </w:r>
    </w:p>
    <w:bookmarkStart w:id="20" w:name="входные-данные"/>
    <w:p>
      <w:pPr>
        <w:pStyle w:val="Heading3"/>
      </w:pPr>
      <w:r>
        <w:t xml:space="preserve">5.1. Входные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55"/>
        <w:gridCol w:w="5358"/>
        <w:gridCol w:w="1786"/>
      </w:tblGrid>
      <w:tr>
        <w:trPr>
          <w:tblHeader w:val="on"/>
        </w:trPr>
        <w:tc>
          <w:tcPr>
            <w:tcW w:w="2455" w:type="dxa"/>
            <w:shd w:val="clear" w:color="auto" w:fill="D9E2F3"/>
          </w:tcPr>
          <w:tcPr/>
          <w:tcPr>
            <w:tcW w:w="2455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5358" w:type="dxa"/>
            <w:shd w:val="clear" w:color="auto" w:fill="D9E2F3"/>
          </w:tcPr>
          <w:tcPr/>
          <w:tcPr>
            <w:tcW w:w="5358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1786" w:type="dxa"/>
            <w:shd w:val="clear" w:color="auto" w:fill="D9E2F3"/>
          </w:tcPr>
          <w:tcPr/>
          <w:tcPr>
            <w:tcW w:w="1786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2455" w:type="dxa"/>
          </w:tcPr>
          <w:tcPr/>
          <w:tcPr>
            <w:tcW w:w="2455" w:type="dxa"/>
          </w:tcPr>
          <w:p>
            <w:pPr>
              <w:pStyle w:val="Compact"/>
            </w:pPr>
            <w:r>
              <w:t xml:space="preserve">U-ON.Travel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Заявки, клиенты, продажи</w:t>
            </w:r>
          </w:p>
        </w:tc>
        <w:tc>
          <w:tcPr>
            <w:tcW w:w="1786" w:type="dxa"/>
          </w:tcPr>
          <w:tcPr/>
          <w:tcPr>
            <w:tcW w:w="1786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455" w:type="dxa"/>
          </w:tcPr>
          <w:tcPr/>
          <w:tcPr>
            <w:tcW w:w="2455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Туры, цены, бронирования</w:t>
            </w:r>
          </w:p>
        </w:tc>
        <w:tc>
          <w:tcPr>
            <w:tcW w:w="1786" w:type="dxa"/>
          </w:tcPr>
          <w:tcPr/>
          <w:tcPr>
            <w:tcW w:w="1786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455" w:type="dxa"/>
          </w:tcPr>
          <w:tcPr/>
          <w:tcPr>
            <w:tcW w:w="2455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Лиды, сделки</w:t>
            </w:r>
          </w:p>
        </w:tc>
        <w:tc>
          <w:tcPr>
            <w:tcW w:w="1786" w:type="dxa"/>
          </w:tcPr>
          <w:tcPr/>
          <w:tcPr>
            <w:tcW w:w="1786" w:type="dxa"/>
          </w:tcPr>
          <w:p>
            <w:pPr>
              <w:pStyle w:val="Compact"/>
            </w:pPr>
            <w:r>
              <w:t xml:space="preserve">REST API</w:t>
            </w:r>
          </w:p>
        </w:tc>
      </w:tr>
    </w:tbl>
    <w:bookmarkEnd w:id="20"/>
    <w:bookmarkStart w:id="21" w:name="выходные-данные"/>
    <w:p>
      <w:pPr>
        <w:pStyle w:val="Heading3"/>
      </w:pPr>
      <w:r>
        <w:t xml:space="preserve">5.2. Выходные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21"/>
        <w:gridCol w:w="4591"/>
        <w:gridCol w:w="2086"/>
      </w:tblGrid>
      <w:tr>
        <w:trPr>
          <w:tblHeader w:val="on"/>
        </w:trPr>
        <w:tc>
          <w:tcPr>
            <w:tcW w:w="2921" w:type="dxa"/>
            <w:shd w:val="clear" w:color="auto" w:fill="D9E2F3"/>
          </w:tcPr>
          <w:tcPr/>
          <w:tcPr>
            <w:tcW w:w="2921" w:type="dxa"/>
            <w:shd w:val="clear" w:color="auto" w:fill="D9E2F3"/>
          </w:tcPr>
          <w:p>
            <w:pPr>
              <w:pStyle w:val="Compact"/>
            </w:pPr>
            <w:r>
              <w:t xml:space="preserve">Получатель</w:t>
            </w:r>
          </w:p>
        </w:tc>
        <w:tc>
          <w:tcPr>
            <w:tcW w:w="4591" w:type="dxa"/>
            <w:shd w:val="clear" w:color="auto" w:fill="D9E2F3"/>
          </w:tcPr>
          <w:tcPr/>
          <w:tcPr>
            <w:tcW w:w="4591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2086" w:type="dxa"/>
            <w:shd w:val="clear" w:color="auto" w:fill="D9E2F3"/>
          </w:tcPr>
          <w:tcPr/>
          <w:tcPr>
            <w:tcW w:w="2086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t xml:space="preserve">Отдел агентств</w:t>
            </w:r>
          </w:p>
        </w:tc>
        <w:tc>
          <w:tcPr>
            <w:tcW w:w="4591" w:type="dxa"/>
          </w:tcPr>
          <w:tcPr/>
          <w:tcPr>
            <w:tcW w:w="4591" w:type="dxa"/>
          </w:tcPr>
          <w:p>
            <w:pPr>
              <w:pStyle w:val="Compact"/>
            </w:pPr>
            <w:r>
              <w:t xml:space="preserve">Дашборд франчайзинга</w:t>
            </w:r>
          </w:p>
        </w:tc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Power BI</w:t>
            </w:r>
          </w:p>
        </w:tc>
      </w:tr>
      <w:tr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t xml:space="preserve">Финансы</w:t>
            </w:r>
          </w:p>
        </w:tc>
        <w:tc>
          <w:tcPr>
            <w:tcW w:w="4591" w:type="dxa"/>
          </w:tcPr>
          <w:tcPr/>
          <w:tcPr>
            <w:tcW w:w="4591" w:type="dxa"/>
          </w:tcPr>
          <w:p>
            <w:pPr>
              <w:pStyle w:val="Compact"/>
            </w:pPr>
            <w:r>
              <w:t xml:space="preserve">Расчёт роялти</w:t>
            </w:r>
          </w:p>
        </w:tc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Excel / 1С</w:t>
            </w:r>
          </w:p>
        </w:tc>
      </w:tr>
      <w:tr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t xml:space="preserve">Франчайзи</w:t>
            </w:r>
          </w:p>
        </w:tc>
        <w:tc>
          <w:tcPr>
            <w:tcW w:w="4591" w:type="dxa"/>
          </w:tcPr>
          <w:tcPr/>
          <w:tcPr>
            <w:tcW w:w="4591" w:type="dxa"/>
          </w:tcPr>
          <w:p>
            <w:pPr>
              <w:pStyle w:val="Compact"/>
            </w:pPr>
            <w:r>
              <w:t xml:space="preserve">Личный кабинет, отчёты</w:t>
            </w:r>
          </w:p>
        </w:tc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Web-портал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технические-требования"/>
    <w:p>
      <w:pPr>
        <w:pStyle w:val="Heading2"/>
      </w:pPr>
      <w:r>
        <w:t xml:space="preserve">6. Технические требования</w:t>
      </w:r>
    </w:p>
    <w:bookmarkStart w:id="23" w:name="интеграции"/>
    <w:p>
      <w:pPr>
        <w:pStyle w:val="Heading3"/>
      </w:pPr>
      <w:r>
        <w:t xml:space="preserve">6.1. Интеграции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33"/>
        <w:gridCol w:w="3733"/>
        <w:gridCol w:w="2933"/>
      </w:tblGrid>
      <w:tr>
        <w:trPr>
          <w:tblHeader w:val="on"/>
        </w:trPr>
        <w:tc>
          <w:tcPr>
            <w:tcW w:w="2933" w:type="dxa"/>
            <w:shd w:val="clear" w:color="auto" w:fill="D9E2F3"/>
          </w:tcPr>
          <w:tcPr/>
          <w:tcPr>
            <w:tcW w:w="2933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3733" w:type="dxa"/>
            <w:shd w:val="clear" w:color="auto" w:fill="D9E2F3"/>
          </w:tcPr>
          <w:tcPr/>
          <w:tcPr>
            <w:tcW w:w="3733" w:type="dxa"/>
            <w:shd w:val="clear" w:color="auto" w:fill="D9E2F3"/>
          </w:tcPr>
          <w:p>
            <w:pPr>
              <w:pStyle w:val="Compact"/>
            </w:pPr>
            <w:r>
              <w:t xml:space="preserve">Тип интеграции</w:t>
            </w:r>
          </w:p>
        </w:tc>
        <w:tc>
          <w:tcPr>
            <w:tcW w:w="2933" w:type="dxa"/>
            <w:shd w:val="clear" w:color="auto" w:fill="D9E2F3"/>
          </w:tcPr>
          <w:tcPr/>
          <w:tcPr>
            <w:tcW w:w="2933" w:type="dxa"/>
            <w:shd w:val="clear" w:color="auto" w:fill="D9E2F3"/>
          </w:tcPr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U-ON.Travel</w:t>
            </w:r>
          </w:p>
        </w:tc>
        <w:tc>
          <w:tcPr>
            <w:tcW w:w="3733" w:type="dxa"/>
          </w:tcPr>
          <w:tcPr/>
          <w:tcPr>
            <w:tcW w:w="3733" w:type="dxa"/>
          </w:tcPr>
          <w:p>
            <w:pPr>
              <w:pStyle w:val="Compact"/>
            </w:pPr>
            <w:r>
              <w:t xml:space="preserve">Двусторонняя</w:t>
            </w:r>
          </w:p>
        </w:tc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3733" w:type="dxa"/>
          </w:tcPr>
          <w:tcPr/>
          <w:tcPr>
            <w:tcW w:w="3733" w:type="dxa"/>
          </w:tcPr>
          <w:p>
            <w:pPr>
              <w:pStyle w:val="Compact"/>
            </w:pPr>
            <w:r>
              <w:t xml:space="preserve">Чтение</w:t>
            </w:r>
          </w:p>
        </w:tc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3733" w:type="dxa"/>
          </w:tcPr>
          <w:tcPr/>
          <w:tcPr>
            <w:tcW w:w="3733" w:type="dxa"/>
          </w:tcPr>
          <w:p>
            <w:pPr>
              <w:pStyle w:val="Compact"/>
            </w:pPr>
            <w:r>
              <w:t xml:space="preserve">Запись</w:t>
            </w:r>
          </w:p>
        </w:tc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Power BI</w:t>
            </w:r>
          </w:p>
        </w:tc>
        <w:tc>
          <w:tcPr>
            <w:tcW w:w="3733" w:type="dxa"/>
          </w:tcPr>
          <w:tcPr/>
          <w:tcPr>
            <w:tcW w:w="3733" w:type="dxa"/>
          </w:tcPr>
          <w:p>
            <w:pPr>
              <w:pStyle w:val="Compact"/>
            </w:pPr>
            <w:r>
              <w:t xml:space="preserve">Чтение</w:t>
            </w:r>
          </w:p>
        </w:tc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DirectQuery</w:t>
            </w:r>
          </w:p>
        </w:tc>
      </w:tr>
    </w:tbl>
    <w:bookmarkEnd w:id="23"/>
    <w:bookmarkStart w:id="24" w:name="формула-расчёта-роялти"/>
    <w:p>
      <w:pPr>
        <w:pStyle w:val="Heading3"/>
      </w:pPr>
      <w:r>
        <w:t xml:space="preserve">6.2. Формула расчёта роялти</w:t>
      </w:r>
    </w:p>
    <w:p>
      <w:pPr>
        <w:pStyle w:val="SourceCode"/>
      </w:pPr>
      <w:r>
        <w:rPr>
          <w:rStyle w:val="VerbatimChar"/>
        </w:rPr>
        <w:t xml:space="preserve">Роялти = Сумма продаж × Ставка роялти (%)</w:t>
      </w:r>
      <w:r>
        <w:br/>
      </w:r>
      <w:r>
        <w:rPr>
          <w:rStyle w:val="VerbatimChar"/>
        </w:rPr>
        <w:t xml:space="preserve">Ставка: 5% от комиссии турагента</w:t>
      </w:r>
    </w:p>
    <w:bookmarkEnd w:id="24"/>
    <w:bookmarkStart w:id="25" w:name="нефункциональные-требования"/>
    <w:p>
      <w:pPr>
        <w:pStyle w:val="Heading3"/>
      </w:pPr>
      <w:r>
        <w:t xml:space="preserve">6.3. Нефункциональные требования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109"/>
        <w:gridCol w:w="3490"/>
      </w:tblGrid>
      <w:tr>
        <w:trPr>
          <w:tblHeader w:val="on"/>
        </w:trPr>
        <w:tc>
          <w:tcPr>
            <w:tcW w:w="6109" w:type="dxa"/>
            <w:shd w:val="clear" w:color="auto" w:fill="D9E2F3"/>
          </w:tcPr>
          <w:tcPr/>
          <w:tcPr>
            <w:tcW w:w="6109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3490" w:type="dxa"/>
            <w:shd w:val="clear" w:color="auto" w:fill="D9E2F3"/>
          </w:tcPr>
          <w:tcPr/>
          <w:tcPr>
            <w:tcW w:w="349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109" w:type="dxa"/>
          </w:tcPr>
          <w:tcPr/>
          <w:tcPr>
            <w:tcW w:w="6109" w:type="dxa"/>
          </w:tcPr>
          <w:p>
            <w:pPr>
              <w:pStyle w:val="Compact"/>
            </w:pPr>
            <w:r>
              <w:t xml:space="preserve">Частота синхронизации</w:t>
            </w:r>
          </w:p>
        </w:tc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6109" w:type="dxa"/>
          </w:tcPr>
          <w:tcPr/>
          <w:tcPr>
            <w:tcW w:w="6109" w:type="dxa"/>
          </w:tcPr>
          <w:p>
            <w:pPr>
              <w:pStyle w:val="Compact"/>
            </w:pPr>
            <w:r>
              <w:t xml:space="preserve">Задержка данных</w:t>
            </w:r>
          </w:p>
        </w:tc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&lt; 24 часа</w:t>
            </w:r>
          </w:p>
        </w:tc>
      </w:tr>
      <w:tr>
        <w:tc>
          <w:tcPr>
            <w:tcW w:w="6109" w:type="dxa"/>
          </w:tcPr>
          <w:tcPr/>
          <w:tcPr>
            <w:tcW w:w="6109" w:type="dxa"/>
          </w:tcPr>
          <w:p>
            <w:pPr>
              <w:pStyle w:val="Compact"/>
            </w:pPr>
            <w:r>
              <w:t xml:space="preserve">Доступность портала</w:t>
            </w:r>
          </w:p>
        </w:tc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99%</w:t>
            </w:r>
          </w:p>
        </w:tc>
      </w:tr>
      <w:tr>
        <w:tc>
          <w:tcPr>
            <w:tcW w:w="6109" w:type="dxa"/>
          </w:tcPr>
          <w:tcPr/>
          <w:tcPr>
            <w:tcW w:w="6109" w:type="dxa"/>
          </w:tcPr>
          <w:p>
            <w:pPr>
              <w:pStyle w:val="Compact"/>
            </w:pPr>
            <w:r>
              <w:t xml:space="preserve">Хранение истории</w:t>
            </w:r>
          </w:p>
        </w:tc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3 года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план-реализации"/>
    <w:p>
      <w:pPr>
        <w:pStyle w:val="Heading2"/>
      </w:pPr>
      <w:r>
        <w:t xml:space="preserve">7. План реализации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926"/>
        <w:gridCol w:w="4215"/>
        <w:gridCol w:w="1053"/>
        <w:gridCol w:w="1404"/>
      </w:tblGrid>
      <w:tr>
        <w:trPr>
          <w:tblHeader w:val="on"/>
        </w:trPr>
        <w:tc>
          <w:tcPr>
            <w:tcW w:w="2926" w:type="dxa"/>
            <w:shd w:val="clear" w:color="auto" w:fill="D9E2F3"/>
          </w:tcPr>
          <w:tcPr/>
          <w:tcPr>
            <w:tcW w:w="2926" w:type="dxa"/>
            <w:shd w:val="clear" w:color="auto" w:fill="D9E2F3"/>
          </w:tcPr>
          <w:p>
            <w:pPr>
              <w:pStyle w:val="Compact"/>
            </w:pPr>
            <w:r>
              <w:t xml:space="preserve">Фаза</w:t>
            </w:r>
          </w:p>
        </w:tc>
        <w:tc>
          <w:tcPr>
            <w:tcW w:w="4215" w:type="dxa"/>
            <w:shd w:val="clear" w:color="auto" w:fill="D9E2F3"/>
          </w:tcPr>
          <w:tcPr/>
          <w:tcPr>
            <w:tcW w:w="4215" w:type="dxa"/>
            <w:shd w:val="clear" w:color="auto" w:fill="D9E2F3"/>
          </w:tcPr>
          <w:p>
            <w:pPr>
              <w:pStyle w:val="Compact"/>
            </w:pPr>
            <w:r>
              <w:t xml:space="preserve">Задачи</w:t>
            </w:r>
          </w:p>
        </w:tc>
        <w:tc>
          <w:tcPr>
            <w:tcW w:w="1053" w:type="dxa"/>
            <w:shd w:val="clear" w:color="auto" w:fill="D9E2F3"/>
          </w:tcPr>
          <w:tcPr/>
          <w:tcPr>
            <w:tcW w:w="1053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  <w:tc>
          <w:tcPr>
            <w:tcW w:w="1404" w:type="dxa"/>
            <w:shd w:val="clear" w:color="auto" w:fill="D9E2F3"/>
          </w:tcPr>
          <w:tcPr/>
          <w:tcPr>
            <w:tcW w:w="1404" w:type="dxa"/>
            <w:shd w:val="clear" w:color="auto" w:fill="D9E2F3"/>
          </w:tcPr>
          <w:p>
            <w:pPr>
              <w:pStyle w:val="Compact"/>
            </w:pPr>
            <w:r>
              <w:t xml:space="preserve">Трудозатраты</w:t>
            </w:r>
          </w:p>
        </w:tc>
      </w:tr>
      <w:tr>
        <w:tc>
          <w:tcPr>
            <w:tcW w:w="2926" w:type="dxa"/>
          </w:tcPr>
          <w:tcPr/>
          <w:tcPr>
            <w:tcW w:w="2926" w:type="dxa"/>
          </w:tcPr>
          <w:p>
            <w:pPr>
              <w:pStyle w:val="Compact"/>
            </w:pPr>
            <w:r>
              <w:t xml:space="preserve">1. Анализ API U-ON</w:t>
            </w:r>
          </w:p>
        </w:tc>
        <w:tc>
          <w:tcPr>
            <w:tcW w:w="4215" w:type="dxa"/>
          </w:tcPr>
          <w:tcPr/>
          <w:tcPr>
            <w:tcW w:w="4215" w:type="dxa"/>
          </w:tcPr>
          <w:p>
            <w:pPr>
              <w:pStyle w:val="Compact"/>
            </w:pPr>
            <w:r>
              <w:t xml:space="preserve">Изучение возможностей, маппинг полей</w:t>
            </w:r>
          </w:p>
        </w:tc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20 ч</w:t>
            </w:r>
          </w:p>
        </w:tc>
      </w:tr>
      <w:tr>
        <w:tc>
          <w:tcPr>
            <w:tcW w:w="2926" w:type="dxa"/>
          </w:tcPr>
          <w:tcPr/>
          <w:tcPr>
            <w:tcW w:w="2926" w:type="dxa"/>
          </w:tcPr>
          <w:p>
            <w:pPr>
              <w:pStyle w:val="Compact"/>
            </w:pPr>
            <w:r>
              <w:t xml:space="preserve">2. Интеграция U-ON ↔ САМО</w:t>
            </w:r>
          </w:p>
        </w:tc>
        <w:tc>
          <w:tcPr>
            <w:tcW w:w="4215" w:type="dxa"/>
          </w:tcPr>
          <w:tcPr/>
          <w:tcPr>
            <w:tcW w:w="4215" w:type="dxa"/>
          </w:tcPr>
          <w:p>
            <w:pPr>
              <w:pStyle w:val="Compact"/>
            </w:pPr>
            <w:r>
              <w:t xml:space="preserve">Синхронизация заявок</w:t>
            </w:r>
          </w:p>
        </w:tc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t xml:space="preserve">3 недели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60 ч</w:t>
            </w:r>
          </w:p>
        </w:tc>
      </w:tr>
      <w:tr>
        <w:tc>
          <w:tcPr>
            <w:tcW w:w="2926" w:type="dxa"/>
          </w:tcPr>
          <w:tcPr/>
          <w:tcPr>
            <w:tcW w:w="2926" w:type="dxa"/>
          </w:tcPr>
          <w:p>
            <w:pPr>
              <w:pStyle w:val="Compact"/>
            </w:pPr>
            <w:r>
              <w:t xml:space="preserve">3. Интеграция U-ON ↔ Б24</w:t>
            </w:r>
          </w:p>
        </w:tc>
        <w:tc>
          <w:tcPr>
            <w:tcW w:w="4215" w:type="dxa"/>
          </w:tcPr>
          <w:tcPr/>
          <w:tcPr>
            <w:tcW w:w="4215" w:type="dxa"/>
          </w:tcPr>
          <w:p>
            <w:pPr>
              <w:pStyle w:val="Compact"/>
            </w:pPr>
            <w:r>
              <w:t xml:space="preserve">Синхронизация лидов</w:t>
            </w:r>
          </w:p>
        </w:tc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40 ч</w:t>
            </w:r>
          </w:p>
        </w:tc>
      </w:tr>
      <w:tr>
        <w:tc>
          <w:tcPr>
            <w:tcW w:w="2926" w:type="dxa"/>
          </w:tcPr>
          <w:tcPr/>
          <w:tcPr>
            <w:tcW w:w="2926" w:type="dxa"/>
          </w:tcPr>
          <w:p>
            <w:pPr>
              <w:pStyle w:val="Compact"/>
            </w:pPr>
            <w:r>
              <w:t xml:space="preserve">4. Дашборд и отчёты</w:t>
            </w:r>
          </w:p>
        </w:tc>
        <w:tc>
          <w:tcPr>
            <w:tcW w:w="4215" w:type="dxa"/>
          </w:tcPr>
          <w:tcPr/>
          <w:tcPr>
            <w:tcW w:w="4215" w:type="dxa"/>
          </w:tcPr>
          <w:p>
            <w:pPr>
              <w:pStyle w:val="Compact"/>
            </w:pPr>
            <w:r>
              <w:t xml:space="preserve">Power BI, расчёт роялти</w:t>
            </w:r>
          </w:p>
        </w:tc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40 ч</w:t>
            </w:r>
          </w:p>
        </w:tc>
      </w:tr>
      <w:tr>
        <w:tc>
          <w:tcPr>
            <w:tcW w:w="2926" w:type="dxa"/>
          </w:tcPr>
          <w:tcPr/>
          <w:tcPr>
            <w:tcW w:w="2926" w:type="dxa"/>
          </w:tcPr>
          <w:p>
            <w:pPr>
              <w:pStyle w:val="Compact"/>
            </w:pPr>
            <w:r>
              <w:t xml:space="preserve">5. Портал франчайзи</w:t>
            </w:r>
          </w:p>
        </w:tc>
        <w:tc>
          <w:tcPr>
            <w:tcW w:w="4215" w:type="dxa"/>
          </w:tcPr>
          <w:tcPr/>
          <w:tcPr>
            <w:tcW w:w="4215" w:type="dxa"/>
          </w:tcPr>
          <w:p>
            <w:pPr>
              <w:pStyle w:val="Compact"/>
            </w:pPr>
            <w:r>
              <w:t xml:space="preserve">Базовый функционал</w:t>
            </w:r>
          </w:p>
        </w:tc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40 ч</w:t>
            </w:r>
          </w:p>
        </w:tc>
      </w:tr>
      <w:tr>
        <w:tc>
          <w:tcPr>
            <w:tcW w:w="2926" w:type="dxa"/>
          </w:tcPr>
          <w:tcPr/>
          <w:tcPr>
            <w:tcW w:w="2926" w:type="dxa"/>
          </w:tcPr>
          <w:p>
            <w:pPr>
              <w:pStyle w:val="Compact"/>
            </w:pPr>
            <w:r>
              <w:t xml:space="preserve">6. Тестирование и запуск</w:t>
            </w:r>
          </w:p>
        </w:tc>
        <w:tc>
          <w:tcPr>
            <w:tcW w:w="4215" w:type="dxa"/>
          </w:tcPr>
          <w:tcPr/>
          <w:tcPr>
            <w:tcW w:w="4215" w:type="dxa"/>
          </w:tcPr>
          <w:p>
            <w:pPr>
              <w:pStyle w:val="Compact"/>
            </w:pPr>
            <w:r>
              <w:t xml:space="preserve">Пилот с 2 франчайзи</w:t>
            </w:r>
          </w:p>
        </w:tc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20 ч</w:t>
            </w:r>
          </w:p>
        </w:tc>
      </w:tr>
      <w:tr>
        <w:tc>
          <w:tcPr>
            <w:tcW w:w="2926" w:type="dxa"/>
          </w:tcPr>
          <w:tcPr/>
          <w:tcPr>
            <w:tcW w:w="292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4215" w:type="dxa"/>
          </w:tcPr>
          <w:tcPr/>
          <w:tcPr>
            <w:tcW w:w="4215" w:type="dxa"/>
          </w:tcPr>
          <w:p>
            <w:pPr>
              <w:pStyle w:val="Compact"/>
            </w:pPr>
          </w:p>
        </w:tc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11 недель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220 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критерии-приёмки"/>
    <w:p>
      <w:pPr>
        <w:pStyle w:val="Heading2"/>
      </w:pPr>
      <w:r>
        <w:t xml:space="preserve">8. Критерии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7"/>
        <w:gridCol w:w="6129"/>
        <w:gridCol w:w="2723"/>
      </w:tblGrid>
      <w:tr>
        <w:trPr>
          <w:tblHeader w:val="on"/>
        </w:trPr>
        <w:tc>
          <w:tcPr>
            <w:tcW w:w="747" w:type="dxa"/>
            <w:shd w:val="clear" w:color="auto" w:fill="D9E2F3"/>
          </w:tcPr>
          <w:tcPr/>
          <w:tcPr>
            <w:tcW w:w="747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6129" w:type="dxa"/>
            <w:shd w:val="clear" w:color="auto" w:fill="D9E2F3"/>
          </w:tcPr>
          <w:tcPr/>
          <w:tcPr>
            <w:tcW w:w="6129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2723" w:type="dxa"/>
            <w:shd w:val="clear" w:color="auto" w:fill="D9E2F3"/>
          </w:tcPr>
          <w:tcPr/>
          <w:tcPr>
            <w:tcW w:w="2723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6129" w:type="dxa"/>
          </w:tcPr>
          <w:tcPr/>
          <w:tcPr>
            <w:tcW w:w="6129" w:type="dxa"/>
          </w:tcPr>
          <w:p>
            <w:pPr>
              <w:pStyle w:val="Compact"/>
            </w:pPr>
            <w:r>
              <w:t xml:space="preserve">Заявки из U-ON появляются в САМО в течение 24 часов</w:t>
            </w:r>
          </w:p>
        </w:tc>
        <w:tc>
          <w:tcPr>
            <w:tcW w:w="2723" w:type="dxa"/>
          </w:tcPr>
          <w:tcPr/>
          <w:tcPr>
            <w:tcW w:w="2723" w:type="dxa"/>
          </w:tcPr>
          <w:p>
            <w:pPr>
              <w:pStyle w:val="Compact"/>
            </w:pPr>
            <w:r>
              <w:t xml:space="preserve">Проверка 50 заявок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6129" w:type="dxa"/>
          </w:tcPr>
          <w:tcPr/>
          <w:tcPr>
            <w:tcW w:w="6129" w:type="dxa"/>
          </w:tcPr>
          <w:p>
            <w:pPr>
              <w:pStyle w:val="Compact"/>
            </w:pPr>
            <w:r>
              <w:t xml:space="preserve">Дашборд показывает актуальные данные по всем франчайзи</w:t>
            </w:r>
          </w:p>
        </w:tc>
        <w:tc>
          <w:tcPr>
            <w:tcW w:w="2723" w:type="dxa"/>
          </w:tcPr>
          <w:tcPr/>
          <w:tcPr>
            <w:tcW w:w="2723" w:type="dxa"/>
          </w:tcPr>
          <w:p>
            <w:pPr>
              <w:pStyle w:val="Compact"/>
            </w:pPr>
            <w:r>
              <w:t xml:space="preserve">Сверка с U-ON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6129" w:type="dxa"/>
          </w:tcPr>
          <w:tcPr/>
          <w:tcPr>
            <w:tcW w:w="6129" w:type="dxa"/>
          </w:tcPr>
          <w:p>
            <w:pPr>
              <w:pStyle w:val="Compact"/>
            </w:pPr>
            <w:r>
              <w:t xml:space="preserve">Роялти рассчитывается автоматически</w:t>
            </w:r>
          </w:p>
        </w:tc>
        <w:tc>
          <w:tcPr>
            <w:tcW w:w="2723" w:type="dxa"/>
          </w:tcPr>
          <w:tcPr/>
          <w:tcPr>
            <w:tcW w:w="2723" w:type="dxa"/>
          </w:tcPr>
          <w:p>
            <w:pPr>
              <w:pStyle w:val="Compact"/>
            </w:pPr>
            <w:r>
              <w:t xml:space="preserve">Сверка с ручным расчётом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6129" w:type="dxa"/>
          </w:tcPr>
          <w:tcPr/>
          <w:tcPr>
            <w:tcW w:w="6129" w:type="dxa"/>
          </w:tcPr>
          <w:p>
            <w:pPr>
              <w:pStyle w:val="Compact"/>
            </w:pPr>
            <w:r>
              <w:t xml:space="preserve">Портал франчайзи доступен 24/7</w:t>
            </w:r>
          </w:p>
        </w:tc>
        <w:tc>
          <w:tcPr>
            <w:tcW w:w="2723" w:type="dxa"/>
          </w:tcPr>
          <w:tcPr/>
          <w:tcPr>
            <w:tcW w:w="2723" w:type="dxa"/>
          </w:tcPr>
          <w:p>
            <w:pPr>
              <w:pStyle w:val="Compact"/>
            </w:pPr>
            <w:r>
              <w:t xml:space="preserve">Мониторинг 1 неделю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6129" w:type="dxa"/>
          </w:tcPr>
          <w:tcPr/>
          <w:tcPr>
            <w:tcW w:w="6129" w:type="dxa"/>
          </w:tcPr>
          <w:p>
            <w:pPr>
              <w:pStyle w:val="Compact"/>
            </w:pPr>
            <w:r>
              <w:t xml:space="preserve">Франчайзи видят свою статистику</w:t>
            </w:r>
          </w:p>
        </w:tc>
        <w:tc>
          <w:tcPr>
            <w:tcW w:w="2723" w:type="dxa"/>
          </w:tcPr>
          <w:tcPr/>
          <w:tcPr>
            <w:tcW w:w="2723" w:type="dxa"/>
          </w:tcPr>
          <w:p>
            <w:pPr>
              <w:pStyle w:val="Compact"/>
            </w:pPr>
            <w:r>
              <w:t xml:space="preserve">Тест с 3 франчайзи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риски-и-митигация"/>
    <w:p>
      <w:pPr>
        <w:pStyle w:val="Heading2"/>
      </w:pPr>
      <w:r>
        <w:t xml:space="preserve">9. Риски и митигация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760"/>
        <w:gridCol w:w="1320"/>
        <w:gridCol w:w="840"/>
        <w:gridCol w:w="4680"/>
      </w:tblGrid>
      <w:tr>
        <w:trPr>
          <w:tblHeader w:val="on"/>
        </w:trPr>
        <w:tc>
          <w:tcPr>
            <w:tcW w:w="2760" w:type="dxa"/>
            <w:shd w:val="clear" w:color="auto" w:fill="D9E2F3"/>
          </w:tcPr>
          <w:tcPr/>
          <w:tcPr>
            <w:tcW w:w="2760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320" w:type="dxa"/>
            <w:shd w:val="clear" w:color="auto" w:fill="D9E2F3"/>
          </w:tcPr>
          <w:tcPr/>
          <w:tcPr>
            <w:tcW w:w="1320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840" w:type="dxa"/>
            <w:shd w:val="clear" w:color="auto" w:fill="D9E2F3"/>
          </w:tcPr>
          <w:tcPr/>
          <w:tcPr>
            <w:tcW w:w="840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4680" w:type="dxa"/>
            <w:shd w:val="clear" w:color="auto" w:fill="D9E2F3"/>
          </w:tcPr>
          <w:tcPr/>
          <w:tcPr>
            <w:tcW w:w="4680" w:type="dxa"/>
            <w:shd w:val="clear" w:color="auto" w:fill="D9E2F3"/>
          </w:tcPr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>
            <w:tcW w:w="2760" w:type="dxa"/>
          </w:tcPr>
          <w:tcPr/>
          <w:tcPr>
            <w:tcW w:w="2760" w:type="dxa"/>
          </w:tcPr>
          <w:p>
            <w:pPr>
              <w:pStyle w:val="Compact"/>
            </w:pPr>
            <w:r>
              <w:t xml:space="preserve">Ограничения API U-ON</w:t>
            </w:r>
          </w:p>
        </w:tc>
        <w:tc>
          <w:tcPr>
            <w:tcW w:w="1320" w:type="dxa"/>
          </w:tcPr>
          <w:tcPr/>
          <w:tcPr>
            <w:tcW w:w="1320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40" w:type="dxa"/>
          </w:tcPr>
          <w:tcPr/>
          <w:tcPr>
            <w:tcW w:w="840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4680" w:type="dxa"/>
          </w:tcPr>
          <w:tcPr/>
          <w:tcPr>
            <w:tcW w:w="4680" w:type="dxa"/>
          </w:tcPr>
          <w:p>
            <w:pPr>
              <w:pStyle w:val="Compact"/>
            </w:pPr>
            <w:r>
              <w:t xml:space="preserve">Предварительный аудит API, альтернативы</w:t>
            </w:r>
          </w:p>
        </w:tc>
      </w:tr>
      <w:tr>
        <w:tc>
          <w:tcPr>
            <w:tcW w:w="2760" w:type="dxa"/>
          </w:tcPr>
          <w:tcPr/>
          <w:tcPr>
            <w:tcW w:w="2760" w:type="dxa"/>
          </w:tcPr>
          <w:p>
            <w:pPr>
              <w:pStyle w:val="Compact"/>
            </w:pPr>
            <w:r>
              <w:t xml:space="preserve">Сопротивление франчайзи</w:t>
            </w:r>
          </w:p>
        </w:tc>
        <w:tc>
          <w:tcPr>
            <w:tcW w:w="1320" w:type="dxa"/>
          </w:tcPr>
          <w:tcPr/>
          <w:tcPr>
            <w:tcW w:w="1320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840" w:type="dxa"/>
          </w:tcPr>
          <w:tcPr/>
          <w:tcPr>
            <w:tcW w:w="840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680" w:type="dxa"/>
          </w:tcPr>
          <w:tcPr/>
          <w:tcPr>
            <w:tcW w:w="4680" w:type="dxa"/>
          </w:tcPr>
          <w:p>
            <w:pPr>
              <w:pStyle w:val="Compact"/>
            </w:pPr>
            <w:r>
              <w:t xml:space="preserve">Демонстрация пользы, обучение</w:t>
            </w:r>
          </w:p>
        </w:tc>
      </w:tr>
      <w:tr>
        <w:tc>
          <w:tcPr>
            <w:tcW w:w="2760" w:type="dxa"/>
          </w:tcPr>
          <w:tcPr/>
          <w:tcPr>
            <w:tcW w:w="2760" w:type="dxa"/>
          </w:tcPr>
          <w:p>
            <w:pPr>
              <w:pStyle w:val="Compact"/>
            </w:pPr>
            <w:r>
              <w:t xml:space="preserve">Расхождения в данных</w:t>
            </w:r>
          </w:p>
        </w:tc>
        <w:tc>
          <w:tcPr>
            <w:tcW w:w="1320" w:type="dxa"/>
          </w:tcPr>
          <w:tcPr/>
          <w:tcPr>
            <w:tcW w:w="1320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40" w:type="dxa"/>
          </w:tcPr>
          <w:tcPr/>
          <w:tcPr>
            <w:tcW w:w="840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680" w:type="dxa"/>
          </w:tcPr>
          <w:tcPr/>
          <w:tcPr>
            <w:tcW w:w="4680" w:type="dxa"/>
          </w:tcPr>
          <w:p>
            <w:pPr>
              <w:pStyle w:val="Compact"/>
            </w:pPr>
            <w:r>
              <w:t xml:space="preserve">Регулярная сверка, логирование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оценка"/>
    <w:p>
      <w:pPr>
        <w:pStyle w:val="Heading2"/>
      </w:pPr>
      <w:r>
        <w:t xml:space="preserve">10. Оценка</w:t>
      </w:r>
    </w:p>
    <w:bookmarkStart w:id="30" w:name="трудозатраты"/>
    <w:p>
      <w:pPr>
        <w:pStyle w:val="Heading3"/>
      </w:pPr>
      <w:r>
        <w:t xml:space="preserve">10.1. Трудозатраты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680"/>
        <w:gridCol w:w="1920"/>
      </w:tblGrid>
      <w:tr>
        <w:trPr>
          <w:tblHeader w:val="on"/>
        </w:trPr>
        <w:tc>
          <w:tcPr>
            <w:tcW w:w="7680" w:type="dxa"/>
            <w:shd w:val="clear" w:color="auto" w:fill="D9E2F3"/>
          </w:tcPr>
          <w:tcPr/>
          <w:tcPr>
            <w:tcW w:w="7680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Аналитик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Разработчик backend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Разработчик frontend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QA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220 ч</w:t>
            </w:r>
          </w:p>
        </w:tc>
      </w:tr>
    </w:tbl>
    <w:bookmarkEnd w:id="30"/>
    <w:bookmarkStart w:id="31" w:name="стоимость"/>
    <w:p>
      <w:pPr>
        <w:pStyle w:val="Heading3"/>
      </w:pPr>
      <w:r>
        <w:t xml:space="preserve">10.2. Стоимость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720"/>
        <w:gridCol w:w="2880"/>
      </w:tblGrid>
      <w:tr>
        <w:trPr>
          <w:tblHeader w:val="on"/>
        </w:trPr>
        <w:tc>
          <w:tcPr>
            <w:tcW w:w="6720" w:type="dxa"/>
            <w:shd w:val="clear" w:color="auto" w:fill="D9E2F3"/>
          </w:tcPr>
          <w:tcPr/>
          <w:tcPr>
            <w:tcW w:w="6720" w:type="dxa"/>
            <w:shd w:val="clear" w:color="auto" w:fill="D9E2F3"/>
          </w:tcPr>
          <w:p>
            <w:pPr>
              <w:pStyle w:val="Compact"/>
            </w:pPr>
            <w:r>
              <w:t xml:space="preserve">Статья</w:t>
            </w:r>
          </w:p>
        </w:tc>
        <w:tc>
          <w:tcPr>
            <w:tcW w:w="2880" w:type="dxa"/>
            <w:shd w:val="clear" w:color="auto" w:fill="D9E2F3"/>
          </w:tcPr>
          <w:tcPr/>
          <w:tcPr>
            <w:tcW w:w="2880" w:type="dxa"/>
            <w:shd w:val="clear" w:color="auto" w:fill="D9E2F3"/>
          </w:tcPr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t xml:space="preserve">Разработка (220 ч × 3 000 ₽)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660 000 ₽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t xml:space="preserve">Хостинг портала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~3 000 ₽/мес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 (разработка)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660 000 ₽</w:t>
            </w:r>
          </w:p>
        </w:tc>
      </w:tr>
    </w:tbl>
    <w:bookmarkEnd w:id="31"/>
    <w:bookmarkStart w:id="32" w:name="roi"/>
    <w:p>
      <w:pPr>
        <w:pStyle w:val="Heading3"/>
      </w:pPr>
      <w:r>
        <w:t xml:space="preserve">10.3. ROI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168"/>
        <w:gridCol w:w="5431"/>
      </w:tblGrid>
      <w:tr>
        <w:trPr>
          <w:tblHeader w:val="on"/>
        </w:trPr>
        <w:tc>
          <w:tcPr>
            <w:tcW w:w="4168" w:type="dxa"/>
            <w:shd w:val="clear" w:color="auto" w:fill="D9E2F3"/>
          </w:tcPr>
          <w:tcPr/>
          <w:tcPr>
            <w:tcW w:w="4168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5431" w:type="dxa"/>
            <w:shd w:val="clear" w:color="auto" w:fill="D9E2F3"/>
          </w:tcPr>
          <w:tcPr/>
          <w:tcPr>
            <w:tcW w:w="5431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4168" w:type="dxa"/>
          </w:tcPr>
          <w:tcPr/>
          <w:tcPr>
            <w:tcW w:w="4168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5431" w:type="dxa"/>
          </w:tcPr>
          <w:tcPr/>
          <w:tcPr>
            <w:tcW w:w="5431" w:type="dxa"/>
          </w:tcPr>
          <w:p>
            <w:pPr>
              <w:pStyle w:val="Compact"/>
            </w:pPr>
            <w:r>
              <w:t xml:space="preserve">13 ч/мес (17 - 4)</w:t>
            </w:r>
          </w:p>
        </w:tc>
      </w:tr>
      <w:tr>
        <w:tc>
          <w:tcPr>
            <w:tcW w:w="4168" w:type="dxa"/>
          </w:tcPr>
          <w:tcPr/>
          <w:tcPr>
            <w:tcW w:w="4168" w:type="dxa"/>
          </w:tcPr>
          <w:p>
            <w:pPr>
              <w:pStyle w:val="Compact"/>
            </w:pPr>
            <w:r>
              <w:t xml:space="preserve">Экономия в рублях (L2, 1 190 ₽/ч)</w:t>
            </w:r>
          </w:p>
        </w:tc>
        <w:tc>
          <w:tcPr>
            <w:tcW w:w="5431" w:type="dxa"/>
          </w:tcPr>
          <w:tcPr/>
          <w:tcPr>
            <w:tcW w:w="5431" w:type="dxa"/>
          </w:tcPr>
          <w:p>
            <w:pPr>
              <w:pStyle w:val="Compact"/>
            </w:pPr>
            <w:r>
              <w:t xml:space="preserve">185 640 ₽/год</w:t>
            </w:r>
          </w:p>
        </w:tc>
      </w:tr>
      <w:tr>
        <w:tc>
          <w:tcPr>
            <w:tcW w:w="4168" w:type="dxa"/>
          </w:tcPr>
          <w:tcPr/>
          <w:tcPr>
            <w:tcW w:w="4168" w:type="dxa"/>
          </w:tcPr>
          <w:p>
            <w:pPr>
              <w:pStyle w:val="Compact"/>
            </w:pPr>
            <w:r>
              <w:t xml:space="preserve">Затраты на разработку</w:t>
            </w:r>
          </w:p>
        </w:tc>
        <w:tc>
          <w:tcPr>
            <w:tcW w:w="5431" w:type="dxa"/>
          </w:tcPr>
          <w:tcPr/>
          <w:tcPr>
            <w:tcW w:w="5431" w:type="dxa"/>
          </w:tcPr>
          <w:p>
            <w:pPr>
              <w:pStyle w:val="Compact"/>
            </w:pPr>
            <w:r>
              <w:t xml:space="preserve">660 000 ₽</w:t>
            </w:r>
          </w:p>
        </w:tc>
      </w:tr>
      <w:tr>
        <w:tc>
          <w:tcPr>
            <w:tcW w:w="4168" w:type="dxa"/>
          </w:tcPr>
          <w:tcPr/>
          <w:tcPr>
            <w:tcW w:w="4168" w:type="dxa"/>
          </w:tcPr>
          <w:p>
            <w:pPr>
              <w:pStyle w:val="Compact"/>
            </w:pPr>
            <w:r>
              <w:t xml:space="preserve">Срок окупаемости</w:t>
            </w:r>
          </w:p>
        </w:tc>
        <w:tc>
          <w:tcPr>
            <w:tcW w:w="5431" w:type="dxa"/>
          </w:tcPr>
          <w:tcPr/>
          <w:tcPr>
            <w:tcW w:w="5431" w:type="dxa"/>
          </w:tcPr>
          <w:p>
            <w:pPr>
              <w:pStyle w:val="Compact"/>
            </w:pPr>
            <w:r>
              <w:t xml:space="preserve">~43 месяца</w:t>
            </w:r>
          </w:p>
        </w:tc>
      </w:tr>
      <w:tr>
        <w:tc>
          <w:tcPr>
            <w:tcW w:w="4168" w:type="dxa"/>
          </w:tcPr>
          <w:tcPr/>
          <w:tcPr>
            <w:tcW w:w="4168" w:type="dxa"/>
          </w:tcPr>
          <w:p>
            <w:pPr>
              <w:pStyle w:val="Compact"/>
            </w:pPr>
            <w:r>
              <w:t xml:space="preserve">Качественные benefits</w:t>
            </w:r>
          </w:p>
        </w:tc>
        <w:tc>
          <w:tcPr>
            <w:tcW w:w="5431" w:type="dxa"/>
          </w:tcPr>
          <w:tcPr/>
          <w:tcPr>
            <w:tcW w:w="5431" w:type="dxa"/>
          </w:tcPr>
          <w:p>
            <w:pPr>
              <w:pStyle w:val="Compact"/>
            </w:pPr>
            <w:r>
              <w:t xml:space="preserve">Контроль сети, масштабирование франчайзинга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2026-02-25</w:t>
      </w:r>
      <w:r>
        <w:t xml:space="preserve"> </w:t>
      </w:r>
      <w:r>
        <w:rPr>
          <w:i/>
          <w:iCs/>
        </w:rPr>
        <w:t xml:space="preserve">Версия: 1.0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2026-02-28T20:00:46Z</dcterms:created>
  <dcterms:modified xsi:type="dcterms:W3CDTF">2026-02-28T20:00:46Z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