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5D3293" wp14:paraId="295F5E9E" wp14:textId="2C19D9B6">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Part A</w:t>
      </w:r>
    </w:p>
    <w:p xmlns:wp14="http://schemas.microsoft.com/office/word/2010/wordml" w:rsidP="325D3293" wp14:paraId="076EB44A" wp14:textId="61CCE53B">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I have learned this week that building a clinical prediction model isn't just about picking machine learning over traditional statistics; it's also about knowing how the two can work together. I learned from Cortese's (2020) reading that statistical regression models are often used to figure out how predictors and outcomes are related, while machine learning methods are usually used to make predictions as accurate as possible. What caught my attention was the focus on discrimination and calibration. A model might have good discrimination, which means it does a good job of separating patients who are at high risk from those who are at low risk. However, if calibration is bad, the predicted probabilities may not match what actually happens. I also learned that external validation and regular model updates are necessary before predictions can safely affect clinical decision-making. Another important point is that clinicians and statisticians need to work together to make sure that prediction models are both correct and useful in the real world.</w:t>
      </w:r>
    </w:p>
    <w:p xmlns:wp14="http://schemas.microsoft.com/office/word/2010/wordml" w:rsidP="325D3293" wp14:paraId="40984599" wp14:textId="0DC58D1C">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I still have the following question(s): How do healthcare systems decide when to put interpretability ahead of slightly better predictive accuracy, especially when clinical decisions directly affect how long a patient will live?</w:t>
      </w:r>
    </w:p>
    <w:p xmlns:wp14="http://schemas.microsoft.com/office/word/2010/wordml" w:rsidP="325D3293" wp14:paraId="59D90EB7" wp14:textId="1FF69437">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325D3293" wp14:paraId="4E60F5E9" wp14:textId="471D4477">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Part B</w:t>
      </w:r>
    </w:p>
    <w:p xmlns:wp14="http://schemas.microsoft.com/office/word/2010/wordml" w:rsidP="325D3293" wp14:paraId="5C87CBA2" wp14:textId="15409A1F">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Dear Florentin, you raised the following interesting question regarding how healthcare organizations decide when a machine learning risk model has enough real-world validation to be trusted alongside existing clinical risk scoring systems, which I will answer as such. Validation needs to be more than just saying that the AUROC score is high, as we learned this week. Cortese (2020) says that predictions can't be trusted until both discrimination and calibration have been checked. Riley et al. (2024) also stress the need for external validation in different groups of patients to make sure the model isn't too specific to one dataset. Before fully integrating a model into clinical workflows, many healthcare systems also do pilot or silent testing phases to see how it works in real-world settings. In my opinion, a model earns trust when it consistently shows stable performance in different settings, is clearly useful in clinical settings compared to other tools, and is kept an eye on over time to make sure its performance doesn't change.</w:t>
      </w:r>
    </w:p>
    <w:p xmlns:wp14="http://schemas.microsoft.com/office/word/2010/wordml" w:rsidP="325D3293" wp14:paraId="282097E5" wp14:textId="3D3D3A4B">
      <w:pPr>
        <w:shd w:val="clear" w:color="auto" w:fill="F2F4F4"/>
        <w:spacing w:before="180" w:beforeAutospacing="off" w:after="180" w:afterAutospacing="off"/>
      </w:pPr>
    </w:p>
    <w:p xmlns:wp14="http://schemas.microsoft.com/office/word/2010/wordml" w:rsidP="325D3293" wp14:paraId="035C2D09" wp14:textId="1AE525DB">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References</w:t>
      </w:r>
    </w:p>
    <w:p xmlns:wp14="http://schemas.microsoft.com/office/word/2010/wordml" w:rsidP="325D3293" wp14:paraId="38841BAC" wp14:textId="49B72F22">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 xml:space="preserve">Cortese, G. (2020). How to use statistical models and methods for clinical prediction. Annals of Translational Medicine, 8(4), 76. </w:t>
      </w:r>
      <w:hyperlink r:id="R39422f40543648a2">
        <w:r w:rsidRPr="325D3293" w:rsidR="13C55E5F">
          <w:rPr>
            <w:rStyle w:val="Hyperlink"/>
            <w:rFonts w:ascii="Lato" w:hAnsi="Lato" w:eastAsia="Lato" w:cs="Lato"/>
            <w:b w:val="0"/>
            <w:bCs w:val="0"/>
            <w:i w:val="0"/>
            <w:iCs w:val="0"/>
            <w:caps w:val="0"/>
            <w:smallCaps w:val="0"/>
            <w:noProof w:val="0"/>
            <w:sz w:val="24"/>
            <w:szCs w:val="24"/>
            <w:lang w:val="en-US"/>
          </w:rPr>
          <w:t>https://doi.org/10.21037/atm.2020.01.22</w:t>
        </w:r>
      </w:hyperlink>
    </w:p>
    <w:p xmlns:wp14="http://schemas.microsoft.com/office/word/2010/wordml" w:rsidP="325D3293" wp14:paraId="48AF99CF" wp14:textId="6E4EA16C">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 xml:space="preserve">Riley, R. D., Collins, G. S., et al. (2024). Evaluation of clinical prediction models: External validation and performance assessment. BMJ, 384, e074819. </w:t>
      </w:r>
      <w:hyperlink r:id="R05bec856c85c4f51">
        <w:r w:rsidRPr="325D3293" w:rsidR="13C55E5F">
          <w:rPr>
            <w:rStyle w:val="Hyperlink"/>
            <w:rFonts w:ascii="Lato" w:hAnsi="Lato" w:eastAsia="Lato" w:cs="Lato"/>
            <w:b w:val="0"/>
            <w:bCs w:val="0"/>
            <w:i w:val="0"/>
            <w:iCs w:val="0"/>
            <w:caps w:val="0"/>
            <w:smallCaps w:val="0"/>
            <w:noProof w:val="0"/>
            <w:sz w:val="24"/>
            <w:szCs w:val="24"/>
            <w:lang w:val="en-US"/>
          </w:rPr>
          <w:t>https://pmc.ncbi.nlm.nih.gov/articles/PMC10788734/</w:t>
        </w:r>
      </w:hyperlink>
    </w:p>
    <w:p xmlns:wp14="http://schemas.microsoft.com/office/word/2010/wordml" w:rsidP="325D3293" wp14:paraId="28641B6B" wp14:textId="7B22CBD5">
      <w:pPr>
        <w:shd w:val="clear" w:color="auto" w:fill="F2F4F4"/>
        <w:spacing w:before="180" w:beforeAutospacing="off" w:after="180" w:afterAutospacing="off"/>
      </w:pPr>
      <w:r w:rsidRPr="325D3293" w:rsidR="13C55E5F">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p14:paraId="18E02314" wp14:textId="57CA9B87"/>
    <w:p xmlns:wp14="http://schemas.microsoft.com/office/word/2010/wordml" wp14:paraId="2C078E63" wp14:textId="09434A8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6423F8"/>
    <w:rsid w:val="0C6423F8"/>
    <w:rsid w:val="13C55E5F"/>
    <w:rsid w:val="325D3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23F8"/>
  <w15:chartTrackingRefBased/>
  <w15:docId w15:val="{C50EDF85-95FF-4AAE-9FAF-3A7E911324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25D329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1037/atm.2020.01.22" TargetMode="External" Id="R39422f40543648a2" /><Relationship Type="http://schemas.openxmlformats.org/officeDocument/2006/relationships/hyperlink" Target="https://pmc.ncbi.nlm.nih.gov/articles/PMC10788734/" TargetMode="External" Id="R05bec856c85c4f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2026-03-28T09:46:37.5386985Z</dcterms:created>
  <dcterms:modified xsi:type="dcterms:W3CDTF">2026-03-28T09:47:06.8599796Z</dcterms:modified>
  <dc:creator>brandy.griffin3-W1382550</dc:creator>
  <lastModifiedBy>brandy.griffin3-W1382550</lastModifiedBy>
</coreProperties>
</file>