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0314B" w14:textId="77777777" w:rsidR="00A612D6" w:rsidRDefault="00A612D6" w:rsidP="00A612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References</w:t>
      </w:r>
    </w:p>
    <w:p w14:paraId="216FB209" w14:textId="77777777" w:rsidR="00A612D6" w:rsidRPr="00D828E0" w:rsidRDefault="00A612D6" w:rsidP="00A612D6">
      <w:pPr>
        <w:spacing w:after="0" w:line="240" w:lineRule="auto"/>
        <w:rPr>
          <w:rFonts w:ascii="Times New Roman" w:hAnsi="Times New Roman" w:cs="Times New Roman"/>
        </w:rPr>
      </w:pPr>
      <w:r w:rsidRPr="00D828E0">
        <w:rPr>
          <w:rFonts w:ascii="Times New Roman" w:hAnsi="Times New Roman" w:cs="Times New Roman"/>
        </w:rPr>
        <w:t>DeMaio, J. (2007). Which chessboards have a closed knight’s tour within the cube? The Electronic Journal of Combinatorics, 14, Article R32.</w:t>
      </w:r>
    </w:p>
    <w:p w14:paraId="550DC80E" w14:textId="77777777" w:rsidR="00A612D6" w:rsidRPr="00D828E0" w:rsidRDefault="00A612D6" w:rsidP="00A612D6">
      <w:pPr>
        <w:spacing w:after="0" w:line="240" w:lineRule="auto"/>
        <w:rPr>
          <w:rFonts w:ascii="Times New Roman" w:hAnsi="Times New Roman" w:cs="Times New Roman"/>
        </w:rPr>
      </w:pPr>
    </w:p>
    <w:p w14:paraId="0CC09130" w14:textId="77777777" w:rsidR="00A612D6" w:rsidRPr="00D828E0" w:rsidRDefault="00A612D6" w:rsidP="00A612D6">
      <w:pPr>
        <w:spacing w:after="0" w:line="240" w:lineRule="auto"/>
        <w:rPr>
          <w:rFonts w:ascii="Times New Roman" w:hAnsi="Times New Roman" w:cs="Times New Roman"/>
        </w:rPr>
      </w:pPr>
      <w:r w:rsidRPr="00D828E0">
        <w:rPr>
          <w:rFonts w:ascii="Times New Roman" w:hAnsi="Times New Roman" w:cs="Times New Roman"/>
        </w:rPr>
        <w:t xml:space="preserve">Yao, Y., &amp; </w:t>
      </w:r>
      <w:proofErr w:type="spellStart"/>
      <w:r w:rsidRPr="00D828E0">
        <w:rPr>
          <w:rFonts w:ascii="Times New Roman" w:hAnsi="Times New Roman" w:cs="Times New Roman"/>
        </w:rPr>
        <w:t>Zeilberger</w:t>
      </w:r>
      <w:proofErr w:type="spellEnd"/>
      <w:r w:rsidRPr="00D828E0">
        <w:rPr>
          <w:rFonts w:ascii="Times New Roman" w:hAnsi="Times New Roman" w:cs="Times New Roman"/>
        </w:rPr>
        <w:t>, D. (2019). Numerical and symbolic studies of the peaceable queens problem (preprint). Retrieved May 15, 2019, from http://sites.math.rutgers.edu/~zeilberg/mamarim/mamarimhtml/peaceable.html</w:t>
      </w:r>
    </w:p>
    <w:p w14:paraId="528E9895" w14:textId="77777777" w:rsidR="00A612D6" w:rsidRPr="00D828E0" w:rsidRDefault="00A612D6" w:rsidP="00A612D6">
      <w:pPr>
        <w:spacing w:after="0" w:line="240" w:lineRule="auto"/>
        <w:rPr>
          <w:rFonts w:ascii="Times New Roman" w:hAnsi="Times New Roman" w:cs="Times New Roman"/>
        </w:rPr>
      </w:pPr>
    </w:p>
    <w:p w14:paraId="4380642B" w14:textId="77777777" w:rsidR="00A612D6" w:rsidRPr="00D828E0" w:rsidRDefault="00A612D6" w:rsidP="00A612D6">
      <w:pPr>
        <w:spacing w:after="0" w:line="240" w:lineRule="auto"/>
        <w:rPr>
          <w:rFonts w:ascii="Times New Roman" w:hAnsi="Times New Roman" w:cs="Times New Roman"/>
        </w:rPr>
      </w:pPr>
      <w:r w:rsidRPr="00D828E0">
        <w:rPr>
          <w:rFonts w:ascii="Times New Roman" w:hAnsi="Times New Roman" w:cs="Times New Roman"/>
        </w:rPr>
        <w:t xml:space="preserve">Clinch, K., Drescher, M., Huynh, T., &amp; </w:t>
      </w:r>
      <w:proofErr w:type="spellStart"/>
      <w:r w:rsidRPr="00D828E0">
        <w:rPr>
          <w:rFonts w:ascii="Times New Roman" w:hAnsi="Times New Roman" w:cs="Times New Roman"/>
        </w:rPr>
        <w:t>Saffidine</w:t>
      </w:r>
      <w:proofErr w:type="spellEnd"/>
      <w:r w:rsidRPr="00D828E0">
        <w:rPr>
          <w:rFonts w:ascii="Times New Roman" w:hAnsi="Times New Roman" w:cs="Times New Roman"/>
        </w:rPr>
        <w:t xml:space="preserve">, A. (2024). Constructions, bounds, and algorithms for peaceable queens. </w:t>
      </w:r>
      <w:proofErr w:type="spellStart"/>
      <w:r w:rsidRPr="00D828E0">
        <w:rPr>
          <w:rFonts w:ascii="Times New Roman" w:hAnsi="Times New Roman" w:cs="Times New Roman"/>
        </w:rPr>
        <w:t>arXiv</w:t>
      </w:r>
      <w:proofErr w:type="spellEnd"/>
      <w:r w:rsidRPr="00D828E0">
        <w:rPr>
          <w:rFonts w:ascii="Times New Roman" w:hAnsi="Times New Roman" w:cs="Times New Roman"/>
        </w:rPr>
        <w:t xml:space="preserve"> preprint arXiv:2406.06974.</w:t>
      </w:r>
    </w:p>
    <w:p w14:paraId="2F8FAFDF" w14:textId="77777777" w:rsidR="00A612D6" w:rsidRPr="00D828E0" w:rsidRDefault="00A612D6" w:rsidP="00A612D6">
      <w:pPr>
        <w:spacing w:after="0" w:line="240" w:lineRule="auto"/>
        <w:rPr>
          <w:rFonts w:ascii="Times New Roman" w:hAnsi="Times New Roman" w:cs="Times New Roman"/>
        </w:rPr>
      </w:pPr>
    </w:p>
    <w:p w14:paraId="365AC738" w14:textId="77777777" w:rsidR="00A612D6" w:rsidRPr="00D828E0" w:rsidRDefault="00A612D6" w:rsidP="00A612D6">
      <w:pPr>
        <w:spacing w:after="0" w:line="240" w:lineRule="auto"/>
        <w:rPr>
          <w:rFonts w:ascii="Times New Roman" w:hAnsi="Times New Roman" w:cs="Times New Roman"/>
        </w:rPr>
      </w:pPr>
      <w:r w:rsidRPr="00D828E0">
        <w:rPr>
          <w:rFonts w:ascii="Times New Roman" w:hAnsi="Times New Roman" w:cs="Times New Roman"/>
        </w:rPr>
        <w:t xml:space="preserve">Campos, R., Casares, P. A. M., &amp; Martin-Delgado, M. A. (2023). Quantum Metropolis Solver: A quantum </w:t>
      </w:r>
      <w:proofErr w:type="gramStart"/>
      <w:r w:rsidRPr="00D828E0">
        <w:rPr>
          <w:rFonts w:ascii="Times New Roman" w:hAnsi="Times New Roman" w:cs="Times New Roman"/>
        </w:rPr>
        <w:t>walks</w:t>
      </w:r>
      <w:proofErr w:type="gramEnd"/>
      <w:r w:rsidRPr="00D828E0">
        <w:rPr>
          <w:rFonts w:ascii="Times New Roman" w:hAnsi="Times New Roman" w:cs="Times New Roman"/>
        </w:rPr>
        <w:t xml:space="preserve"> approach to optimization problems. Quantum Machine Intelligence, 5, 28. https://doi.org/10.1007/s42484-023-00119-y</w:t>
      </w:r>
    </w:p>
    <w:p w14:paraId="53997494" w14:textId="77777777" w:rsidR="00A612D6" w:rsidRPr="00D828E0" w:rsidRDefault="00A612D6" w:rsidP="00A612D6">
      <w:pPr>
        <w:spacing w:after="0" w:line="240" w:lineRule="auto"/>
        <w:rPr>
          <w:rFonts w:ascii="Times New Roman" w:hAnsi="Times New Roman" w:cs="Times New Roman"/>
        </w:rPr>
      </w:pPr>
    </w:p>
    <w:p w14:paraId="411A2550" w14:textId="77777777" w:rsidR="00A612D6" w:rsidRPr="00D828E0" w:rsidRDefault="00A612D6" w:rsidP="00A612D6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D828E0">
        <w:rPr>
          <w:rFonts w:ascii="Times New Roman" w:hAnsi="Times New Roman" w:cs="Times New Roman"/>
        </w:rPr>
        <w:t>Seinn</w:t>
      </w:r>
      <w:proofErr w:type="spellEnd"/>
      <w:r w:rsidRPr="00D828E0">
        <w:rPr>
          <w:rFonts w:ascii="Times New Roman" w:hAnsi="Times New Roman" w:cs="Times New Roman"/>
        </w:rPr>
        <w:t>, S. (2016). Relations between some pieces in the game of chess and some properties of graphs. Universities Research Journal, 7(4).</w:t>
      </w:r>
    </w:p>
    <w:p w14:paraId="231635D9" w14:textId="77777777" w:rsidR="00A612D6" w:rsidRPr="00D828E0" w:rsidRDefault="00A612D6" w:rsidP="00A612D6">
      <w:pPr>
        <w:spacing w:after="0" w:line="240" w:lineRule="auto"/>
        <w:rPr>
          <w:rFonts w:ascii="Times New Roman" w:hAnsi="Times New Roman" w:cs="Times New Roman"/>
        </w:rPr>
      </w:pPr>
    </w:p>
    <w:p w14:paraId="261C79C2" w14:textId="77777777" w:rsidR="00A612D6" w:rsidRPr="00D828E0" w:rsidRDefault="00A612D6" w:rsidP="00A612D6">
      <w:pPr>
        <w:spacing w:after="0" w:line="240" w:lineRule="auto"/>
        <w:rPr>
          <w:rFonts w:ascii="Times New Roman" w:hAnsi="Times New Roman" w:cs="Times New Roman"/>
        </w:rPr>
      </w:pPr>
      <w:r w:rsidRPr="00D828E0">
        <w:rPr>
          <w:rFonts w:ascii="Times New Roman" w:hAnsi="Times New Roman" w:cs="Times New Roman"/>
        </w:rPr>
        <w:t>de Groot, J. A. (2020). Solving n-queens on non-squares (</w:t>
      </w:r>
      <w:proofErr w:type="gramStart"/>
      <w:r w:rsidRPr="00D828E0">
        <w:rPr>
          <w:rFonts w:ascii="Times New Roman" w:hAnsi="Times New Roman" w:cs="Times New Roman"/>
        </w:rPr>
        <w:t>Bachelor’s</w:t>
      </w:r>
      <w:proofErr w:type="gramEnd"/>
      <w:r w:rsidRPr="00D828E0">
        <w:rPr>
          <w:rFonts w:ascii="Times New Roman" w:hAnsi="Times New Roman" w:cs="Times New Roman"/>
        </w:rPr>
        <w:t xml:space="preserve"> thesis, Utrecht University).</w:t>
      </w:r>
    </w:p>
    <w:p w14:paraId="2D77DC99" w14:textId="77777777" w:rsidR="00A612D6" w:rsidRPr="00D828E0" w:rsidRDefault="00A612D6" w:rsidP="00A612D6">
      <w:pPr>
        <w:spacing w:after="0" w:line="240" w:lineRule="auto"/>
        <w:rPr>
          <w:rFonts w:ascii="Times New Roman" w:hAnsi="Times New Roman" w:cs="Times New Roman"/>
        </w:rPr>
      </w:pPr>
    </w:p>
    <w:p w14:paraId="6A569A3E" w14:textId="77777777" w:rsidR="00A612D6" w:rsidRDefault="00A612D6" w:rsidP="00A612D6">
      <w:pPr>
        <w:spacing w:after="0" w:line="240" w:lineRule="auto"/>
        <w:rPr>
          <w:rFonts w:ascii="Times New Roman" w:hAnsi="Times New Roman" w:cs="Times New Roman"/>
        </w:rPr>
      </w:pPr>
      <w:r w:rsidRPr="00D828E0">
        <w:rPr>
          <w:rFonts w:ascii="Times New Roman" w:hAnsi="Times New Roman" w:cs="Times New Roman"/>
        </w:rPr>
        <w:t>Zhao, K. (1998). The combinatorics of chessboards (Doctoral dissertation, The City University of New York). UMI No. 9908387.</w:t>
      </w:r>
    </w:p>
    <w:p w14:paraId="1768335D" w14:textId="77777777" w:rsidR="00A612D6" w:rsidRDefault="00A612D6" w:rsidP="00A612D6">
      <w:pPr>
        <w:spacing w:after="0" w:line="240" w:lineRule="auto"/>
        <w:rPr>
          <w:rFonts w:ascii="Times New Roman" w:hAnsi="Times New Roman" w:cs="Times New Roman"/>
        </w:rPr>
      </w:pPr>
    </w:p>
    <w:p w14:paraId="13872D69" w14:textId="77777777" w:rsidR="00A612D6" w:rsidRPr="006E40C8" w:rsidRDefault="00A612D6" w:rsidP="00A612D6">
      <w:pPr>
        <w:spacing w:after="0" w:line="240" w:lineRule="auto"/>
        <w:rPr>
          <w:rFonts w:ascii="Times New Roman" w:hAnsi="Times New Roman" w:cs="Times New Roman"/>
        </w:rPr>
      </w:pPr>
      <w:r w:rsidRPr="006E40C8">
        <w:rPr>
          <w:rFonts w:ascii="Times New Roman" w:hAnsi="Times New Roman" w:cs="Times New Roman"/>
        </w:rPr>
        <w:t xml:space="preserve">Mallek, A., &amp; </w:t>
      </w:r>
      <w:proofErr w:type="spellStart"/>
      <w:r w:rsidRPr="006E40C8">
        <w:rPr>
          <w:rFonts w:ascii="Times New Roman" w:hAnsi="Times New Roman" w:cs="Times New Roman"/>
        </w:rPr>
        <w:t>Boudhar</w:t>
      </w:r>
      <w:proofErr w:type="spellEnd"/>
      <w:r w:rsidRPr="006E40C8">
        <w:rPr>
          <w:rFonts w:ascii="Times New Roman" w:hAnsi="Times New Roman" w:cs="Times New Roman"/>
        </w:rPr>
        <w:t xml:space="preserve">, M. (2024). </w:t>
      </w:r>
      <w:proofErr w:type="gramStart"/>
      <w:r w:rsidRPr="006E40C8">
        <w:rPr>
          <w:rFonts w:ascii="Times New Roman" w:hAnsi="Times New Roman" w:cs="Times New Roman"/>
        </w:rPr>
        <w:t>Scheduling on</w:t>
      </w:r>
      <w:proofErr w:type="gramEnd"/>
      <w:r w:rsidRPr="006E40C8">
        <w:rPr>
          <w:rFonts w:ascii="Times New Roman" w:hAnsi="Times New Roman" w:cs="Times New Roman"/>
        </w:rPr>
        <w:t xml:space="preserve"> uniform machines with a conflict graph: Complexity and resolution. International Transactions in Operational Research. https://doi.org/10.1111/itor.13170</w:t>
      </w:r>
    </w:p>
    <w:p w14:paraId="43E5D895" w14:textId="77777777" w:rsidR="00A612D6" w:rsidRPr="006E40C8" w:rsidRDefault="00A612D6" w:rsidP="00A612D6">
      <w:pPr>
        <w:spacing w:after="0" w:line="240" w:lineRule="auto"/>
        <w:rPr>
          <w:rFonts w:ascii="Times New Roman" w:hAnsi="Times New Roman" w:cs="Times New Roman"/>
        </w:rPr>
      </w:pPr>
    </w:p>
    <w:p w14:paraId="63B291E3" w14:textId="77777777" w:rsidR="00A612D6" w:rsidRPr="006E40C8" w:rsidRDefault="00A612D6" w:rsidP="00A612D6">
      <w:pPr>
        <w:spacing w:after="0" w:line="240" w:lineRule="auto"/>
        <w:rPr>
          <w:rFonts w:ascii="Times New Roman" w:hAnsi="Times New Roman" w:cs="Times New Roman"/>
        </w:rPr>
      </w:pPr>
      <w:r w:rsidRPr="006E40C8">
        <w:rPr>
          <w:rFonts w:ascii="Times New Roman" w:hAnsi="Times New Roman" w:cs="Times New Roman"/>
        </w:rPr>
        <w:t>Halldórsson, M. M., Patt-Shamir, B., &amp; Rawitz, D. (2011). Online scheduling with interval conflicts. In Proceedings of the 28th International Symposium on Theoretical Aspects of Computer Science (STACS 2011) (pp. 472–483). Schloss Dagstuhl—Leibniz-Zentrum für Informatik. https://doi.org/10.4230/LIPIcs.STACS.2011.472</w:t>
      </w:r>
    </w:p>
    <w:p w14:paraId="54938F6D" w14:textId="77777777" w:rsidR="00A612D6" w:rsidRPr="006E40C8" w:rsidRDefault="00A612D6" w:rsidP="00A612D6">
      <w:pPr>
        <w:spacing w:after="0" w:line="240" w:lineRule="auto"/>
        <w:rPr>
          <w:rFonts w:ascii="Times New Roman" w:hAnsi="Times New Roman" w:cs="Times New Roman"/>
        </w:rPr>
      </w:pPr>
    </w:p>
    <w:p w14:paraId="3BF219E5" w14:textId="77777777" w:rsidR="00A612D6" w:rsidRPr="006E40C8" w:rsidRDefault="00A612D6" w:rsidP="00A612D6">
      <w:pPr>
        <w:spacing w:after="0" w:line="240" w:lineRule="auto"/>
        <w:rPr>
          <w:rFonts w:ascii="Times New Roman" w:hAnsi="Times New Roman" w:cs="Times New Roman"/>
        </w:rPr>
      </w:pPr>
      <w:r w:rsidRPr="006E40C8">
        <w:rPr>
          <w:rFonts w:ascii="Times New Roman" w:hAnsi="Times New Roman" w:cs="Times New Roman"/>
        </w:rPr>
        <w:t>Aardal, K. I., van Hoesel, S. P. M., Koster, A. M. C. A., Mannino, C., &amp; Sassano, A. (2007). Models and solution techniques for frequency assignment problems. Annals of Operations Research, 153, 79–129. https://doi.org/10.1007/s10479-007-0178-0</w:t>
      </w:r>
    </w:p>
    <w:p w14:paraId="51D8431A" w14:textId="77777777" w:rsidR="00A612D6" w:rsidRPr="006E40C8" w:rsidRDefault="00A612D6" w:rsidP="00A612D6">
      <w:pPr>
        <w:spacing w:after="0" w:line="240" w:lineRule="auto"/>
        <w:rPr>
          <w:rFonts w:ascii="Times New Roman" w:hAnsi="Times New Roman" w:cs="Times New Roman"/>
        </w:rPr>
      </w:pPr>
    </w:p>
    <w:p w14:paraId="70931F46" w14:textId="77777777" w:rsidR="00A612D6" w:rsidRPr="006E40C8" w:rsidRDefault="00A612D6" w:rsidP="00A612D6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E40C8">
        <w:rPr>
          <w:rFonts w:ascii="Times New Roman" w:hAnsi="Times New Roman" w:cs="Times New Roman"/>
        </w:rPr>
        <w:t>Audhya</w:t>
      </w:r>
      <w:proofErr w:type="spellEnd"/>
      <w:r w:rsidRPr="006E40C8">
        <w:rPr>
          <w:rFonts w:ascii="Times New Roman" w:hAnsi="Times New Roman" w:cs="Times New Roman"/>
        </w:rPr>
        <w:t>, G. K., Sinha, K., &amp; Ghosh, S. C. (2011). A survey on the channel assignment problem in wireless networks. Wireless Communications and Mobile Computing, 11(5), 583–609. https://doi.org/10.1002/wcm.898</w:t>
      </w:r>
    </w:p>
    <w:p w14:paraId="5723B0AC" w14:textId="77777777" w:rsidR="00A612D6" w:rsidRPr="006E40C8" w:rsidRDefault="00A612D6" w:rsidP="00A612D6">
      <w:pPr>
        <w:spacing w:after="0" w:line="240" w:lineRule="auto"/>
        <w:rPr>
          <w:rFonts w:ascii="Times New Roman" w:hAnsi="Times New Roman" w:cs="Times New Roman"/>
        </w:rPr>
      </w:pPr>
    </w:p>
    <w:p w14:paraId="0F3D9439" w14:textId="77777777" w:rsidR="00A612D6" w:rsidRPr="006E40C8" w:rsidRDefault="00A612D6" w:rsidP="00A612D6">
      <w:pPr>
        <w:spacing w:after="0" w:line="240" w:lineRule="auto"/>
        <w:rPr>
          <w:rFonts w:ascii="Times New Roman" w:hAnsi="Times New Roman" w:cs="Times New Roman"/>
        </w:rPr>
      </w:pPr>
      <w:r w:rsidRPr="006E40C8">
        <w:rPr>
          <w:rFonts w:ascii="Times New Roman" w:hAnsi="Times New Roman" w:cs="Times New Roman"/>
        </w:rPr>
        <w:t>Fortunato, S. (2010). Community detection in graphs. Physics Reports, 486(3–5), 75–174. https://doi.org/10.1016/j.physrep.2009.11.002</w:t>
      </w:r>
    </w:p>
    <w:p w14:paraId="486C0B19" w14:textId="77777777" w:rsidR="00A612D6" w:rsidRPr="006E40C8" w:rsidRDefault="00A612D6" w:rsidP="00A612D6">
      <w:pPr>
        <w:spacing w:after="0" w:line="240" w:lineRule="auto"/>
        <w:rPr>
          <w:rFonts w:ascii="Times New Roman" w:hAnsi="Times New Roman" w:cs="Times New Roman"/>
        </w:rPr>
      </w:pPr>
    </w:p>
    <w:p w14:paraId="73F2A75A" w14:textId="77777777" w:rsidR="00A612D6" w:rsidRPr="006E40C8" w:rsidRDefault="00A612D6" w:rsidP="00A612D6">
      <w:pPr>
        <w:spacing w:after="0" w:line="240" w:lineRule="auto"/>
        <w:rPr>
          <w:rFonts w:ascii="Times New Roman" w:hAnsi="Times New Roman" w:cs="Times New Roman"/>
        </w:rPr>
      </w:pPr>
      <w:r w:rsidRPr="006E40C8">
        <w:rPr>
          <w:rFonts w:ascii="Times New Roman" w:hAnsi="Times New Roman" w:cs="Times New Roman"/>
        </w:rPr>
        <w:t>Hendrickson, B., &amp; Kolda, T. G. (2000). Graph partitioning models for parallel computing. Parallel Computing, 26(12), 1519–1534. https://doi.org/10.1016/S0167-8191(00)00048-X</w:t>
      </w:r>
    </w:p>
    <w:p w14:paraId="3F0B2FC4" w14:textId="77777777" w:rsidR="00A612D6" w:rsidRPr="006E40C8" w:rsidRDefault="00A612D6" w:rsidP="00A612D6">
      <w:pPr>
        <w:spacing w:after="0" w:line="240" w:lineRule="auto"/>
        <w:rPr>
          <w:rFonts w:ascii="Times New Roman" w:hAnsi="Times New Roman" w:cs="Times New Roman"/>
        </w:rPr>
      </w:pPr>
    </w:p>
    <w:p w14:paraId="2B3446A6" w14:textId="77777777" w:rsidR="00A612D6" w:rsidRPr="00B85C5E" w:rsidRDefault="00A612D6" w:rsidP="00A612D6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6E40C8">
        <w:rPr>
          <w:rFonts w:ascii="Times New Roman" w:hAnsi="Times New Roman" w:cs="Times New Roman"/>
        </w:rPr>
        <w:lastRenderedPageBreak/>
        <w:t>Ugander</w:t>
      </w:r>
      <w:proofErr w:type="spellEnd"/>
      <w:r w:rsidRPr="006E40C8">
        <w:rPr>
          <w:rFonts w:ascii="Times New Roman" w:hAnsi="Times New Roman" w:cs="Times New Roman"/>
        </w:rPr>
        <w:t>, J., Karrer, B., Backstrom, L., &amp; Kleinberg, J. (2013). Graph cluster randomization: Network exposure to multiple universes. In Proceedings of the 19th ACM SIGKDD International Conference on Knowledge Discovery and Data Mining (KDD ’13) (pp. 329–337). Association for Computing Machinery. https://doi.org/10.1145/2487575.2487695</w:t>
      </w:r>
    </w:p>
    <w:p w14:paraId="58075BA2" w14:textId="77777777" w:rsidR="00A612D6" w:rsidRDefault="00A612D6"/>
    <w:p w14:paraId="4D6F9862" w14:textId="633207D4" w:rsidR="00A612D6" w:rsidRDefault="00A612D6">
      <w:r>
        <w:t xml:space="preserve">The online encyclopedia of integer sequences: A328283; </w:t>
      </w:r>
      <w:hyperlink r:id="rId4" w:history="1">
        <w:r w:rsidRPr="00426E42">
          <w:rPr>
            <w:rStyle w:val="Hyperlink"/>
          </w:rPr>
          <w:t>https://oeis.org/A328283</w:t>
        </w:r>
      </w:hyperlink>
    </w:p>
    <w:p w14:paraId="365BE3E8" w14:textId="4CE10C4C" w:rsidR="00A612D6" w:rsidRDefault="00A612D6">
      <w:r>
        <w:t>The online encyclopedia of integer sequences: A</w:t>
      </w:r>
      <w:r>
        <w:t>250000</w:t>
      </w:r>
      <w:r>
        <w:t xml:space="preserve">; </w:t>
      </w:r>
      <w:hyperlink r:id="rId5" w:history="1">
        <w:r w:rsidRPr="00426E42">
          <w:rPr>
            <w:rStyle w:val="Hyperlink"/>
          </w:rPr>
          <w:t>https://oeis.org/A250000</w:t>
        </w:r>
      </w:hyperlink>
    </w:p>
    <w:p w14:paraId="68374529" w14:textId="77777777" w:rsidR="00A612D6" w:rsidRDefault="00A612D6"/>
    <w:sectPr w:rsidR="00A61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D6"/>
    <w:rsid w:val="002B6A4A"/>
    <w:rsid w:val="00A61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1FE3F"/>
  <w15:chartTrackingRefBased/>
  <w15:docId w15:val="{4336E022-B28F-45D7-BAFF-BF7E1794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2D6"/>
  </w:style>
  <w:style w:type="paragraph" w:styleId="Heading1">
    <w:name w:val="heading 1"/>
    <w:basedOn w:val="Normal"/>
    <w:next w:val="Normal"/>
    <w:link w:val="Heading1Char"/>
    <w:uiPriority w:val="9"/>
    <w:qFormat/>
    <w:rsid w:val="00A61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2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12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2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oeis.org/A250000" TargetMode="External"/><Relationship Id="rId4" Type="http://schemas.openxmlformats.org/officeDocument/2006/relationships/hyperlink" Target="https://oeis.org/A3282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Brandi Jones</dc:creator>
  <cp:keywords/>
  <dc:description/>
  <cp:lastModifiedBy>Brandi Jones</cp:lastModifiedBy>
  <cp:revision>1</cp:revision>
  <dcterms:created xsi:type="dcterms:W3CDTF">2025-11-09T22:30:00Z</dcterms:created>
  <dcterms:modified xsi:type="dcterms:W3CDTF">2025-11-09T22:32:00Z</dcterms:modified>
</cp:coreProperties>
</file>