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7429F" w14:textId="77777777" w:rsidR="006174B2" w:rsidRDefault="00000000">
      <w:pPr>
        <w:spacing w:before="80" w:after="1040"/>
        <w:ind w:right="1284" w:firstLineChars="1700" w:firstLine="5461"/>
        <w:rPr>
          <w:rFonts w:ascii="宋体" w:eastAsia="宋体" w:hAnsi="宋体" w:cs="宋体"/>
          <w:b/>
          <w:bCs/>
          <w:kern w:val="0"/>
          <w:sz w:val="32"/>
          <w:szCs w:val="32"/>
          <w:lang w:val="zh-CN" w:bidi="zh-CN"/>
        </w:rPr>
      </w:pPr>
      <w:r>
        <w:rPr>
          <w:rFonts w:ascii="宋体" w:eastAsia="宋体" w:hAnsi="宋体" w:cs="宋体"/>
          <w:b/>
          <w:bCs/>
          <w:kern w:val="0"/>
          <w:sz w:val="32"/>
          <w:szCs w:val="32"/>
          <w:lang w:val="zh-CN" w:bidi="zh-CN"/>
        </w:rPr>
        <w:t>项目编号：</w:t>
      </w:r>
    </w:p>
    <w:p w14:paraId="65E396BD" w14:textId="77777777" w:rsidR="006174B2" w:rsidRDefault="00000000">
      <w:pPr>
        <w:ind w:firstLine="480"/>
        <w:jc w:val="center"/>
        <w:rPr>
          <w:rFonts w:ascii="MingLiU_HKSCS" w:eastAsia="MingLiU_HKSCS" w:hAnsi="MingLiU_HKSCS" w:cs="MingLiU_HKSCS"/>
          <w:kern w:val="0"/>
          <w:sz w:val="24"/>
          <w:szCs w:val="24"/>
          <w:lang w:eastAsia="en-US" w:bidi="en-US"/>
        </w:rPr>
      </w:pPr>
      <w:r>
        <w:rPr>
          <w:rFonts w:ascii="MingLiU_HKSCS" w:eastAsia="MingLiU_HKSCS" w:hAnsi="MingLiU_HKSCS" w:cs="MingLiU_HKSCS"/>
          <w:noProof/>
          <w:kern w:val="0"/>
          <w:sz w:val="24"/>
          <w:szCs w:val="24"/>
          <w:lang w:eastAsia="en-US" w:bidi="en-US"/>
        </w:rPr>
        <w:drawing>
          <wp:inline distT="0" distB="0" distL="0" distR="0" wp14:anchorId="61DADE19" wp14:editId="24874CEF">
            <wp:extent cx="1035050" cy="1225550"/>
            <wp:effectExtent l="0" t="0" r="0" b="0"/>
            <wp:docPr id="3" name="Picutre 3"/>
            <wp:cNvGraphicFramePr/>
            <a:graphic xmlns:a="http://schemas.openxmlformats.org/drawingml/2006/main">
              <a:graphicData uri="http://schemas.openxmlformats.org/drawingml/2006/picture">
                <pic:pic xmlns:pic="http://schemas.openxmlformats.org/drawingml/2006/picture">
                  <pic:nvPicPr>
                    <pic:cNvPr id="3" name="Picutre 3"/>
                    <pic:cNvPicPr/>
                  </pic:nvPicPr>
                  <pic:blipFill>
                    <a:blip r:embed="rId7">
                      <a:extLst>
                        <a:ext uri="{28A0092B-C50C-407E-A947-70E740481C1C}">
                          <a14:useLocalDpi xmlns:a14="http://schemas.microsoft.com/office/drawing/2010/main" val="0"/>
                        </a:ext>
                      </a:extLst>
                    </a:blip>
                    <a:stretch>
                      <a:fillRect/>
                    </a:stretch>
                  </pic:blipFill>
                  <pic:spPr>
                    <a:xfrm>
                      <a:off x="0" y="0"/>
                      <a:ext cx="1035050" cy="1225550"/>
                    </a:xfrm>
                    <a:prstGeom prst="rect">
                      <a:avLst/>
                    </a:prstGeom>
                  </pic:spPr>
                </pic:pic>
              </a:graphicData>
            </a:graphic>
          </wp:inline>
        </w:drawing>
      </w:r>
    </w:p>
    <w:p w14:paraId="671ACDB7" w14:textId="77777777" w:rsidR="006174B2" w:rsidRDefault="00000000">
      <w:pPr>
        <w:keepNext/>
        <w:keepLines/>
        <w:spacing w:after="440"/>
        <w:ind w:left="4156" w:hangingChars="900" w:hanging="4156"/>
        <w:rPr>
          <w:rFonts w:ascii="宋体" w:eastAsia="宋体" w:hAnsi="宋体" w:cs="宋体"/>
          <w:b/>
          <w:bCs/>
          <w:kern w:val="0"/>
          <w:sz w:val="46"/>
          <w:szCs w:val="46"/>
          <w:lang w:val="zh-CN" w:bidi="zh-CN"/>
        </w:rPr>
      </w:pPr>
      <w:bookmarkStart w:id="0" w:name="bookmark2"/>
      <w:r>
        <w:rPr>
          <w:rFonts w:ascii="宋体" w:eastAsia="宋体" w:hAnsi="宋体" w:cs="宋体"/>
          <w:b/>
          <w:bCs/>
          <w:color w:val="000000"/>
          <w:kern w:val="0"/>
          <w:sz w:val="46"/>
          <w:szCs w:val="46"/>
          <w:lang w:val="zh-CN" w:bidi="zh-CN"/>
        </w:rPr>
        <w:t>“强农杯”中国农业大学创新创业大赛</w:t>
      </w:r>
      <w:bookmarkEnd w:id="0"/>
      <w:r>
        <w:rPr>
          <w:rFonts w:ascii="宋体" w:eastAsia="宋体" w:hAnsi="宋体" w:cs="宋体"/>
          <w:b/>
          <w:bCs/>
          <w:color w:val="000000"/>
          <w:kern w:val="0"/>
          <w:sz w:val="46"/>
          <w:szCs w:val="46"/>
          <w:lang w:val="zh-CN" w:bidi="zh-CN"/>
        </w:rPr>
        <w:t>创业竞赛</w:t>
      </w:r>
    </w:p>
    <w:p w14:paraId="0A52C564" w14:textId="77777777" w:rsidR="006174B2" w:rsidRDefault="00000000">
      <w:pPr>
        <w:spacing w:after="920"/>
        <w:ind w:firstLineChars="700" w:firstLine="3373"/>
        <w:rPr>
          <w:rFonts w:ascii="MingLiU_HKSCS" w:eastAsia="MingLiU_HKSCS" w:hAnsi="MingLiU_HKSCS" w:cs="MingLiU_HKSCS"/>
          <w:kern w:val="0"/>
          <w:sz w:val="24"/>
          <w:szCs w:val="24"/>
          <w:lang w:eastAsia="en-US" w:bidi="en-US"/>
        </w:rPr>
      </w:pPr>
      <w:r>
        <w:rPr>
          <w:rFonts w:ascii="宋体" w:eastAsia="宋体" w:hAnsi="宋体" w:cs="宋体"/>
          <w:b/>
          <w:bCs/>
          <w:color w:val="000000"/>
          <w:kern w:val="0"/>
          <w:sz w:val="48"/>
          <w:szCs w:val="48"/>
          <w:lang w:val="zh-CN" w:bidi="zh-CN"/>
        </w:rPr>
        <w:t>商业计划</w:t>
      </w:r>
      <w:r>
        <w:rPr>
          <w:rFonts w:ascii="宋体" w:eastAsia="宋体" w:hAnsi="宋体" w:cs="宋体" w:hint="eastAsia"/>
          <w:b/>
          <w:bCs/>
          <w:color w:val="000000"/>
          <w:kern w:val="0"/>
          <w:sz w:val="48"/>
          <w:szCs w:val="48"/>
          <w:lang w:bidi="zh-CN"/>
        </w:rPr>
        <w:t>书</w:t>
      </w:r>
    </w:p>
    <w:tbl>
      <w:tblPr>
        <w:tblStyle w:val="a8"/>
        <w:tblW w:w="10419" w:type="dxa"/>
        <w:tblInd w:w="-498" w:type="dxa"/>
        <w:tblLook w:val="04A0" w:firstRow="1" w:lastRow="0" w:firstColumn="1" w:lastColumn="0" w:noHBand="0" w:noVBand="1"/>
      </w:tblPr>
      <w:tblGrid>
        <w:gridCol w:w="2498"/>
        <w:gridCol w:w="7921"/>
      </w:tblGrid>
      <w:tr w:rsidR="006174B2" w14:paraId="42FE68A0" w14:textId="77777777">
        <w:trPr>
          <w:trHeight w:val="676"/>
        </w:trPr>
        <w:tc>
          <w:tcPr>
            <w:tcW w:w="2498" w:type="dxa"/>
            <w:tcBorders>
              <w:top w:val="nil"/>
              <w:left w:val="nil"/>
              <w:bottom w:val="nil"/>
              <w:right w:val="nil"/>
            </w:tcBorders>
            <w:vAlign w:val="bottom"/>
          </w:tcPr>
          <w:p w14:paraId="246B53FD" w14:textId="77777777" w:rsidR="006174B2" w:rsidRDefault="00000000">
            <w:pPr>
              <w:tabs>
                <w:tab w:val="left" w:leader="underscore" w:pos="8240"/>
              </w:tabs>
              <w:snapToGrid w:val="0"/>
              <w:spacing w:after="205" w:line="240" w:lineRule="atLeast"/>
              <w:ind w:firstLine="578"/>
              <w:jc w:val="center"/>
              <w:rPr>
                <w:rFonts w:ascii="宋体" w:eastAsia="宋体" w:hAnsi="宋体" w:cs="宋体"/>
                <w:kern w:val="0"/>
                <w:sz w:val="28"/>
                <w:szCs w:val="28"/>
                <w:u w:val="single"/>
                <w:lang w:bidi="zh-CN"/>
              </w:rPr>
            </w:pPr>
            <w:r>
              <w:rPr>
                <w:rFonts w:ascii="宋体" w:eastAsia="宋体" w:hAnsi="宋体" w:cs="宋体"/>
                <w:kern w:val="0"/>
                <w:sz w:val="28"/>
                <w:szCs w:val="28"/>
                <w:lang w:val="zh-CN" w:bidi="zh-CN"/>
              </w:rPr>
              <w:t>项目名称：</w:t>
            </w:r>
          </w:p>
        </w:tc>
        <w:tc>
          <w:tcPr>
            <w:tcW w:w="7921" w:type="dxa"/>
            <w:tcBorders>
              <w:top w:val="nil"/>
              <w:left w:val="nil"/>
              <w:bottom w:val="single" w:sz="4" w:space="0" w:color="auto"/>
              <w:right w:val="nil"/>
            </w:tcBorders>
            <w:vAlign w:val="bottom"/>
          </w:tcPr>
          <w:p w14:paraId="4481CF67" w14:textId="77777777" w:rsidR="006174B2" w:rsidRDefault="00000000">
            <w:pPr>
              <w:tabs>
                <w:tab w:val="left" w:leader="underscore" w:pos="8240"/>
              </w:tabs>
              <w:snapToGrid w:val="0"/>
              <w:spacing w:after="205" w:line="240" w:lineRule="atLeast"/>
              <w:ind w:firstLine="578"/>
              <w:jc w:val="center"/>
              <w:rPr>
                <w:rFonts w:ascii="宋体" w:eastAsia="宋体" w:hAnsi="宋体" w:cs="宋体"/>
                <w:kern w:val="0"/>
                <w:sz w:val="28"/>
                <w:szCs w:val="28"/>
                <w:lang w:bidi="zh-CN"/>
              </w:rPr>
            </w:pPr>
            <w:proofErr w:type="spellStart"/>
            <w:r>
              <w:rPr>
                <w:rFonts w:ascii="宋体" w:eastAsia="宋体" w:hAnsi="宋体" w:cs="宋体" w:hint="eastAsia"/>
                <w:kern w:val="0"/>
                <w:sz w:val="28"/>
                <w:szCs w:val="28"/>
                <w:lang w:bidi="zh-CN"/>
              </w:rPr>
              <w:t>PowerGuardian</w:t>
            </w:r>
            <w:proofErr w:type="spellEnd"/>
            <w:proofErr w:type="gramStart"/>
            <w:r>
              <w:rPr>
                <w:rFonts w:ascii="宋体" w:eastAsia="宋体" w:hAnsi="宋体" w:cs="宋体" w:hint="eastAsia"/>
                <w:kern w:val="0"/>
                <w:sz w:val="28"/>
                <w:szCs w:val="28"/>
                <w:lang w:bidi="zh-CN"/>
              </w:rPr>
              <w:t>电援速</w:t>
            </w:r>
            <w:proofErr w:type="gramEnd"/>
            <w:r>
              <w:rPr>
                <w:rFonts w:ascii="宋体" w:eastAsia="宋体" w:hAnsi="宋体" w:cs="宋体" w:hint="eastAsia"/>
                <w:kern w:val="0"/>
                <w:sz w:val="28"/>
                <w:szCs w:val="28"/>
                <w:lang w:bidi="zh-CN"/>
              </w:rPr>
              <w:t>达—AI赋能下的应急能源领航者</w:t>
            </w:r>
          </w:p>
        </w:tc>
      </w:tr>
      <w:tr w:rsidR="006174B2" w14:paraId="188523C4" w14:textId="77777777">
        <w:trPr>
          <w:trHeight w:val="688"/>
        </w:trPr>
        <w:tc>
          <w:tcPr>
            <w:tcW w:w="2498" w:type="dxa"/>
            <w:tcBorders>
              <w:top w:val="nil"/>
              <w:left w:val="nil"/>
              <w:bottom w:val="nil"/>
              <w:right w:val="nil"/>
            </w:tcBorders>
            <w:vAlign w:val="bottom"/>
          </w:tcPr>
          <w:p w14:paraId="3500A388" w14:textId="77777777" w:rsidR="006174B2" w:rsidRDefault="00000000">
            <w:pPr>
              <w:tabs>
                <w:tab w:val="left" w:leader="underscore" w:pos="8240"/>
              </w:tabs>
              <w:snapToGrid w:val="0"/>
              <w:spacing w:after="205" w:line="240" w:lineRule="atLeast"/>
              <w:ind w:firstLine="578"/>
              <w:jc w:val="center"/>
              <w:rPr>
                <w:rFonts w:ascii="宋体" w:eastAsia="宋体" w:hAnsi="宋体" w:cs="宋体"/>
                <w:kern w:val="0"/>
                <w:sz w:val="28"/>
                <w:szCs w:val="28"/>
                <w:lang w:val="zh-CN" w:bidi="zh-CN"/>
              </w:rPr>
            </w:pPr>
            <w:r>
              <w:rPr>
                <w:rFonts w:ascii="宋体" w:eastAsia="宋体" w:hAnsi="宋体" w:cs="宋体"/>
                <w:kern w:val="0"/>
                <w:sz w:val="28"/>
                <w:szCs w:val="28"/>
                <w:lang w:val="zh-CN" w:bidi="zh-CN"/>
              </w:rPr>
              <w:t>参赛赛道：</w:t>
            </w:r>
          </w:p>
        </w:tc>
        <w:tc>
          <w:tcPr>
            <w:tcW w:w="7921" w:type="dxa"/>
            <w:tcBorders>
              <w:top w:val="single" w:sz="4" w:space="0" w:color="auto"/>
              <w:left w:val="nil"/>
              <w:bottom w:val="single" w:sz="4" w:space="0" w:color="auto"/>
              <w:right w:val="nil"/>
            </w:tcBorders>
            <w:vAlign w:val="bottom"/>
          </w:tcPr>
          <w:p w14:paraId="748E7756" w14:textId="77777777" w:rsidR="006174B2" w:rsidRDefault="00000000">
            <w:pPr>
              <w:tabs>
                <w:tab w:val="left" w:leader="underscore" w:pos="8240"/>
              </w:tabs>
              <w:snapToGrid w:val="0"/>
              <w:spacing w:after="205" w:line="240" w:lineRule="atLeast"/>
              <w:ind w:firstLine="578"/>
              <w:jc w:val="center"/>
              <w:rPr>
                <w:rFonts w:ascii="宋体" w:eastAsia="宋体" w:hAnsi="宋体" w:cs="宋体"/>
                <w:kern w:val="0"/>
                <w:sz w:val="28"/>
                <w:szCs w:val="28"/>
                <w:lang w:bidi="zh-CN"/>
              </w:rPr>
            </w:pPr>
            <w:r>
              <w:rPr>
                <w:rFonts w:ascii="宋体" w:eastAsia="宋体" w:hAnsi="宋体" w:cs="宋体" w:hint="eastAsia"/>
                <w:kern w:val="0"/>
                <w:sz w:val="28"/>
                <w:szCs w:val="28"/>
                <w:lang w:bidi="zh-CN"/>
              </w:rPr>
              <w:t>创业赛道</w:t>
            </w:r>
          </w:p>
        </w:tc>
      </w:tr>
      <w:tr w:rsidR="006174B2" w14:paraId="073CF602" w14:textId="77777777">
        <w:trPr>
          <w:trHeight w:val="688"/>
        </w:trPr>
        <w:tc>
          <w:tcPr>
            <w:tcW w:w="2498" w:type="dxa"/>
            <w:tcBorders>
              <w:top w:val="nil"/>
              <w:left w:val="nil"/>
              <w:bottom w:val="nil"/>
              <w:right w:val="nil"/>
            </w:tcBorders>
            <w:vAlign w:val="bottom"/>
          </w:tcPr>
          <w:p w14:paraId="46B9E40E" w14:textId="77777777" w:rsidR="006174B2" w:rsidRDefault="00000000">
            <w:pPr>
              <w:tabs>
                <w:tab w:val="left" w:leader="underscore" w:pos="8240"/>
              </w:tabs>
              <w:snapToGrid w:val="0"/>
              <w:spacing w:after="205" w:line="240" w:lineRule="atLeast"/>
              <w:ind w:firstLine="578"/>
              <w:jc w:val="center"/>
              <w:rPr>
                <w:rFonts w:ascii="宋体" w:eastAsia="宋体" w:hAnsi="宋体" w:cs="宋体"/>
                <w:kern w:val="0"/>
                <w:sz w:val="28"/>
                <w:szCs w:val="28"/>
                <w:lang w:val="zh-CN" w:bidi="zh-CN"/>
              </w:rPr>
            </w:pPr>
            <w:r>
              <w:rPr>
                <w:rFonts w:ascii="宋体" w:eastAsia="宋体" w:hAnsi="宋体" w:cs="宋体"/>
                <w:kern w:val="0"/>
                <w:sz w:val="28"/>
                <w:szCs w:val="28"/>
                <w:lang w:val="zh-CN" w:bidi="zh-CN"/>
              </w:rPr>
              <w:t>推荐学院：</w:t>
            </w:r>
          </w:p>
        </w:tc>
        <w:tc>
          <w:tcPr>
            <w:tcW w:w="7921" w:type="dxa"/>
            <w:tcBorders>
              <w:top w:val="single" w:sz="4" w:space="0" w:color="auto"/>
              <w:left w:val="nil"/>
              <w:bottom w:val="single" w:sz="4" w:space="0" w:color="auto"/>
              <w:right w:val="nil"/>
            </w:tcBorders>
            <w:vAlign w:val="bottom"/>
          </w:tcPr>
          <w:p w14:paraId="646EBC5C" w14:textId="77777777" w:rsidR="006174B2" w:rsidRDefault="00000000">
            <w:pPr>
              <w:tabs>
                <w:tab w:val="left" w:leader="underscore" w:pos="8240"/>
              </w:tabs>
              <w:snapToGrid w:val="0"/>
              <w:spacing w:after="205" w:line="240" w:lineRule="atLeast"/>
              <w:ind w:firstLine="578"/>
              <w:jc w:val="center"/>
              <w:rPr>
                <w:rFonts w:ascii="宋体" w:eastAsia="宋体" w:hAnsi="宋体" w:cs="宋体"/>
                <w:kern w:val="0"/>
                <w:sz w:val="28"/>
                <w:szCs w:val="28"/>
                <w:lang w:bidi="zh-CN"/>
              </w:rPr>
            </w:pPr>
            <w:r>
              <w:rPr>
                <w:rFonts w:ascii="宋体" w:eastAsia="宋体" w:hAnsi="宋体" w:cs="宋体" w:hint="eastAsia"/>
                <w:kern w:val="0"/>
                <w:sz w:val="28"/>
                <w:szCs w:val="28"/>
                <w:lang w:bidi="zh-CN"/>
              </w:rPr>
              <w:t>信息与电气工程学院</w:t>
            </w:r>
          </w:p>
        </w:tc>
      </w:tr>
      <w:tr w:rsidR="006174B2" w14:paraId="16577229" w14:textId="77777777">
        <w:trPr>
          <w:trHeight w:val="688"/>
        </w:trPr>
        <w:tc>
          <w:tcPr>
            <w:tcW w:w="2498" w:type="dxa"/>
            <w:tcBorders>
              <w:top w:val="nil"/>
              <w:left w:val="nil"/>
              <w:bottom w:val="nil"/>
              <w:right w:val="nil"/>
            </w:tcBorders>
            <w:vAlign w:val="bottom"/>
          </w:tcPr>
          <w:p w14:paraId="48B6635F" w14:textId="77777777" w:rsidR="006174B2" w:rsidRDefault="00000000">
            <w:pPr>
              <w:tabs>
                <w:tab w:val="left" w:leader="underscore" w:pos="8240"/>
              </w:tabs>
              <w:snapToGrid w:val="0"/>
              <w:spacing w:after="205" w:line="240" w:lineRule="atLeast"/>
              <w:ind w:firstLine="578"/>
              <w:jc w:val="center"/>
              <w:rPr>
                <w:rFonts w:ascii="宋体" w:eastAsia="宋体" w:hAnsi="宋体" w:cs="宋体"/>
                <w:kern w:val="0"/>
                <w:sz w:val="28"/>
                <w:szCs w:val="28"/>
                <w:lang w:val="zh-CN" w:bidi="zh-CN"/>
              </w:rPr>
            </w:pPr>
            <w:r>
              <w:rPr>
                <w:rFonts w:ascii="宋体" w:eastAsia="宋体" w:hAnsi="宋体" w:cs="宋体"/>
                <w:kern w:val="0"/>
                <w:sz w:val="28"/>
                <w:szCs w:val="28"/>
                <w:lang w:val="zh-CN" w:bidi="zh-CN"/>
              </w:rPr>
              <w:t>项目负责人：</w:t>
            </w:r>
          </w:p>
        </w:tc>
        <w:tc>
          <w:tcPr>
            <w:tcW w:w="7921" w:type="dxa"/>
            <w:tcBorders>
              <w:top w:val="single" w:sz="4" w:space="0" w:color="auto"/>
              <w:left w:val="nil"/>
              <w:bottom w:val="single" w:sz="4" w:space="0" w:color="auto"/>
              <w:right w:val="nil"/>
            </w:tcBorders>
            <w:vAlign w:val="bottom"/>
          </w:tcPr>
          <w:p w14:paraId="180F19A4" w14:textId="77777777" w:rsidR="006174B2" w:rsidRDefault="00000000">
            <w:pPr>
              <w:tabs>
                <w:tab w:val="left" w:leader="underscore" w:pos="8240"/>
              </w:tabs>
              <w:snapToGrid w:val="0"/>
              <w:spacing w:after="205" w:line="240" w:lineRule="atLeast"/>
              <w:ind w:firstLine="578"/>
              <w:jc w:val="center"/>
              <w:rPr>
                <w:rFonts w:ascii="宋体" w:eastAsia="宋体" w:hAnsi="宋体" w:cs="宋体"/>
                <w:kern w:val="0"/>
                <w:sz w:val="28"/>
                <w:szCs w:val="28"/>
                <w:lang w:bidi="zh-CN"/>
              </w:rPr>
            </w:pPr>
            <w:proofErr w:type="gramStart"/>
            <w:r>
              <w:rPr>
                <w:rFonts w:ascii="宋体" w:eastAsia="宋体" w:hAnsi="宋体" w:cs="宋体" w:hint="eastAsia"/>
                <w:kern w:val="0"/>
                <w:sz w:val="28"/>
                <w:szCs w:val="28"/>
                <w:lang w:bidi="zh-CN"/>
              </w:rPr>
              <w:t>张博涵</w:t>
            </w:r>
            <w:proofErr w:type="gramEnd"/>
          </w:p>
        </w:tc>
      </w:tr>
      <w:tr w:rsidR="006174B2" w14:paraId="5A4763B0" w14:textId="77777777">
        <w:trPr>
          <w:trHeight w:val="688"/>
        </w:trPr>
        <w:tc>
          <w:tcPr>
            <w:tcW w:w="2498" w:type="dxa"/>
            <w:tcBorders>
              <w:top w:val="nil"/>
              <w:left w:val="nil"/>
              <w:bottom w:val="nil"/>
              <w:right w:val="nil"/>
            </w:tcBorders>
            <w:vAlign w:val="bottom"/>
          </w:tcPr>
          <w:p w14:paraId="33C3509C" w14:textId="77777777" w:rsidR="006174B2" w:rsidRDefault="00000000">
            <w:pPr>
              <w:tabs>
                <w:tab w:val="left" w:leader="underscore" w:pos="8240"/>
              </w:tabs>
              <w:snapToGrid w:val="0"/>
              <w:spacing w:after="205" w:line="240" w:lineRule="atLeast"/>
              <w:ind w:firstLine="578"/>
              <w:jc w:val="center"/>
              <w:rPr>
                <w:rFonts w:ascii="宋体" w:eastAsia="宋体" w:hAnsi="宋体" w:cs="宋体"/>
                <w:kern w:val="0"/>
                <w:sz w:val="28"/>
                <w:szCs w:val="28"/>
                <w:lang w:val="zh-CN" w:bidi="zh-CN"/>
              </w:rPr>
            </w:pPr>
            <w:r>
              <w:rPr>
                <w:rFonts w:ascii="宋体" w:eastAsia="宋体" w:hAnsi="宋体" w:cs="宋体"/>
                <w:kern w:val="0"/>
                <w:sz w:val="28"/>
                <w:szCs w:val="28"/>
                <w:lang w:val="zh-CN" w:bidi="zh-CN"/>
              </w:rPr>
              <w:t>联系电话：</w:t>
            </w:r>
          </w:p>
        </w:tc>
        <w:tc>
          <w:tcPr>
            <w:tcW w:w="7921" w:type="dxa"/>
            <w:tcBorders>
              <w:top w:val="single" w:sz="4" w:space="0" w:color="auto"/>
              <w:left w:val="nil"/>
              <w:bottom w:val="single" w:sz="4" w:space="0" w:color="auto"/>
              <w:right w:val="nil"/>
            </w:tcBorders>
            <w:vAlign w:val="bottom"/>
          </w:tcPr>
          <w:p w14:paraId="66F82F9C" w14:textId="77777777" w:rsidR="006174B2" w:rsidRDefault="00000000">
            <w:pPr>
              <w:tabs>
                <w:tab w:val="left" w:leader="underscore" w:pos="8240"/>
              </w:tabs>
              <w:snapToGrid w:val="0"/>
              <w:spacing w:after="205" w:line="240" w:lineRule="atLeast"/>
              <w:ind w:firstLine="578"/>
              <w:jc w:val="center"/>
              <w:rPr>
                <w:rFonts w:ascii="宋体" w:eastAsia="宋体" w:hAnsi="宋体" w:cs="宋体"/>
                <w:kern w:val="0"/>
                <w:sz w:val="28"/>
                <w:szCs w:val="28"/>
                <w:lang w:bidi="zh-CN"/>
              </w:rPr>
            </w:pPr>
            <w:r>
              <w:rPr>
                <w:rFonts w:ascii="宋体" w:eastAsia="宋体" w:hAnsi="宋体" w:cs="宋体" w:hint="eastAsia"/>
                <w:kern w:val="0"/>
                <w:sz w:val="28"/>
                <w:szCs w:val="28"/>
                <w:lang w:bidi="zh-CN"/>
              </w:rPr>
              <w:t>17733079199</w:t>
            </w:r>
          </w:p>
        </w:tc>
      </w:tr>
      <w:tr w:rsidR="006174B2" w14:paraId="2555D341" w14:textId="77777777">
        <w:trPr>
          <w:trHeight w:val="688"/>
        </w:trPr>
        <w:tc>
          <w:tcPr>
            <w:tcW w:w="2498" w:type="dxa"/>
            <w:tcBorders>
              <w:top w:val="nil"/>
              <w:left w:val="nil"/>
              <w:bottom w:val="nil"/>
              <w:right w:val="nil"/>
            </w:tcBorders>
            <w:vAlign w:val="bottom"/>
          </w:tcPr>
          <w:p w14:paraId="7FC845FA" w14:textId="77777777" w:rsidR="006174B2" w:rsidRDefault="00000000">
            <w:pPr>
              <w:tabs>
                <w:tab w:val="left" w:leader="underscore" w:pos="8240"/>
              </w:tabs>
              <w:snapToGrid w:val="0"/>
              <w:spacing w:after="205" w:line="240" w:lineRule="atLeast"/>
              <w:ind w:firstLine="578"/>
              <w:jc w:val="center"/>
              <w:rPr>
                <w:rFonts w:ascii="宋体" w:eastAsia="宋体" w:hAnsi="宋体" w:cs="宋体"/>
                <w:kern w:val="0"/>
                <w:sz w:val="28"/>
                <w:szCs w:val="28"/>
                <w:lang w:val="zh-CN" w:bidi="zh-CN"/>
              </w:rPr>
            </w:pPr>
            <w:r>
              <w:rPr>
                <w:rFonts w:ascii="宋体" w:eastAsia="宋体" w:hAnsi="宋体" w:cs="宋体"/>
                <w:kern w:val="0"/>
                <w:sz w:val="28"/>
                <w:szCs w:val="28"/>
                <w:lang w:val="zh-CN" w:bidi="zh-CN"/>
              </w:rPr>
              <w:t>负责人邮箱：</w:t>
            </w:r>
          </w:p>
        </w:tc>
        <w:tc>
          <w:tcPr>
            <w:tcW w:w="7921" w:type="dxa"/>
            <w:tcBorders>
              <w:top w:val="single" w:sz="4" w:space="0" w:color="auto"/>
              <w:left w:val="nil"/>
              <w:bottom w:val="single" w:sz="4" w:space="0" w:color="auto"/>
              <w:right w:val="nil"/>
            </w:tcBorders>
            <w:vAlign w:val="bottom"/>
          </w:tcPr>
          <w:p w14:paraId="41318F5E" w14:textId="77777777" w:rsidR="006174B2" w:rsidRDefault="00000000">
            <w:pPr>
              <w:tabs>
                <w:tab w:val="left" w:leader="underscore" w:pos="8240"/>
              </w:tabs>
              <w:snapToGrid w:val="0"/>
              <w:spacing w:after="205" w:line="240" w:lineRule="atLeast"/>
              <w:ind w:firstLine="578"/>
              <w:jc w:val="center"/>
              <w:rPr>
                <w:rFonts w:ascii="宋体" w:eastAsia="宋体" w:hAnsi="宋体" w:cs="宋体"/>
                <w:kern w:val="0"/>
                <w:sz w:val="28"/>
                <w:szCs w:val="28"/>
                <w:lang w:bidi="zh-CN"/>
              </w:rPr>
            </w:pPr>
            <w:r>
              <w:rPr>
                <w:rFonts w:ascii="宋体" w:eastAsia="宋体" w:hAnsi="宋体" w:cs="宋体" w:hint="eastAsia"/>
                <w:kern w:val="0"/>
                <w:sz w:val="28"/>
                <w:szCs w:val="28"/>
                <w:lang w:bidi="zh-CN"/>
              </w:rPr>
              <w:t>brandinzhang@cau.edu.cn</w:t>
            </w:r>
          </w:p>
        </w:tc>
      </w:tr>
      <w:tr w:rsidR="006174B2" w14:paraId="681D87F5" w14:textId="77777777">
        <w:trPr>
          <w:trHeight w:val="700"/>
        </w:trPr>
        <w:tc>
          <w:tcPr>
            <w:tcW w:w="2498" w:type="dxa"/>
            <w:tcBorders>
              <w:top w:val="nil"/>
              <w:left w:val="nil"/>
              <w:bottom w:val="nil"/>
              <w:right w:val="nil"/>
            </w:tcBorders>
            <w:vAlign w:val="bottom"/>
          </w:tcPr>
          <w:p w14:paraId="689630BD" w14:textId="77777777" w:rsidR="006174B2" w:rsidRDefault="00000000">
            <w:pPr>
              <w:tabs>
                <w:tab w:val="left" w:leader="underscore" w:pos="8240"/>
              </w:tabs>
              <w:snapToGrid w:val="0"/>
              <w:spacing w:after="205" w:line="240" w:lineRule="atLeast"/>
              <w:ind w:firstLine="578"/>
              <w:jc w:val="center"/>
              <w:rPr>
                <w:rFonts w:ascii="宋体" w:eastAsia="宋体" w:hAnsi="宋体" w:cs="宋体"/>
                <w:kern w:val="0"/>
                <w:sz w:val="28"/>
                <w:szCs w:val="28"/>
                <w:lang w:val="zh-CN" w:bidi="zh-CN"/>
              </w:rPr>
            </w:pPr>
            <w:r>
              <w:rPr>
                <w:rFonts w:ascii="宋体" w:eastAsia="宋体" w:hAnsi="宋体" w:cs="宋体"/>
                <w:kern w:val="0"/>
                <w:sz w:val="28"/>
                <w:szCs w:val="28"/>
                <w:lang w:val="zh-CN" w:bidi="zh-CN"/>
              </w:rPr>
              <w:t>指导教师：</w:t>
            </w:r>
          </w:p>
        </w:tc>
        <w:tc>
          <w:tcPr>
            <w:tcW w:w="7921" w:type="dxa"/>
            <w:tcBorders>
              <w:top w:val="single" w:sz="4" w:space="0" w:color="auto"/>
              <w:left w:val="nil"/>
              <w:bottom w:val="single" w:sz="4" w:space="0" w:color="auto"/>
              <w:right w:val="nil"/>
            </w:tcBorders>
            <w:vAlign w:val="bottom"/>
          </w:tcPr>
          <w:p w14:paraId="64D8B17A" w14:textId="77777777" w:rsidR="006174B2" w:rsidRDefault="00000000">
            <w:pPr>
              <w:tabs>
                <w:tab w:val="left" w:leader="underscore" w:pos="8240"/>
              </w:tabs>
              <w:snapToGrid w:val="0"/>
              <w:spacing w:after="205" w:line="240" w:lineRule="atLeast"/>
              <w:ind w:firstLine="578"/>
              <w:jc w:val="center"/>
              <w:rPr>
                <w:rFonts w:ascii="宋体" w:eastAsia="宋体" w:hAnsi="宋体" w:cs="宋体"/>
                <w:kern w:val="0"/>
                <w:sz w:val="28"/>
                <w:szCs w:val="28"/>
                <w:lang w:bidi="zh-CN"/>
              </w:rPr>
            </w:pPr>
            <w:proofErr w:type="gramStart"/>
            <w:r>
              <w:rPr>
                <w:rFonts w:ascii="宋体" w:eastAsia="宋体" w:hAnsi="宋体" w:cs="宋体" w:hint="eastAsia"/>
                <w:kern w:val="0"/>
                <w:sz w:val="28"/>
                <w:szCs w:val="28"/>
                <w:lang w:bidi="zh-CN"/>
              </w:rPr>
              <w:t>路朋</w:t>
            </w:r>
            <w:proofErr w:type="gramEnd"/>
          </w:p>
        </w:tc>
      </w:tr>
    </w:tbl>
    <w:p w14:paraId="4FF5BEC2" w14:textId="77777777" w:rsidR="006174B2" w:rsidRDefault="00000000">
      <w:pPr>
        <w:tabs>
          <w:tab w:val="left" w:leader="underscore" w:pos="8240"/>
        </w:tabs>
        <w:snapToGrid w:val="0"/>
        <w:spacing w:after="205" w:line="240" w:lineRule="atLeast"/>
        <w:ind w:firstLine="578"/>
        <w:jc w:val="center"/>
        <w:rPr>
          <w:rFonts w:ascii="宋体" w:eastAsia="宋体" w:hAnsi="宋体" w:cs="宋体"/>
          <w:kern w:val="0"/>
          <w:sz w:val="28"/>
          <w:szCs w:val="28"/>
          <w:lang w:val="zh-CN" w:bidi="zh-CN"/>
        </w:rPr>
      </w:pPr>
      <w:r>
        <w:rPr>
          <w:rFonts w:ascii="宋体" w:eastAsia="宋体" w:hAnsi="宋体" w:cs="Segoe UI"/>
          <w:b/>
          <w:bCs/>
          <w:kern w:val="0"/>
          <w:sz w:val="23"/>
          <w:szCs w:val="23"/>
        </w:rPr>
        <w:br w:type="page"/>
      </w:r>
    </w:p>
    <w:p w14:paraId="21A402E0" w14:textId="77777777" w:rsidR="006174B2" w:rsidRDefault="00000000">
      <w:pPr>
        <w:spacing w:beforeLines="50" w:before="156" w:afterLines="50" w:after="156"/>
        <w:jc w:val="center"/>
        <w:rPr>
          <w:rFonts w:ascii="黑体" w:eastAsia="黑体" w:hAnsi="黑体" w:cs="黑体"/>
          <w:sz w:val="32"/>
          <w:szCs w:val="32"/>
        </w:rPr>
      </w:pPr>
      <w:r>
        <w:rPr>
          <w:rFonts w:ascii="黑体" w:eastAsia="黑体" w:hAnsi="黑体" w:cs="黑体" w:hint="eastAsia"/>
          <w:sz w:val="32"/>
          <w:szCs w:val="32"/>
        </w:rPr>
        <w:lastRenderedPageBreak/>
        <w:t>摘要</w:t>
      </w:r>
    </w:p>
    <w:p w14:paraId="2C0F2285" w14:textId="77777777" w:rsidR="006174B2" w:rsidRDefault="00000000">
      <w:pPr>
        <w:spacing w:beforeLines="50" w:before="156" w:afterLines="50" w:after="156"/>
        <w:rPr>
          <w:rFonts w:ascii="黑体" w:eastAsia="黑体" w:hAnsi="黑体" w:cs="黑体"/>
          <w:sz w:val="28"/>
          <w:szCs w:val="28"/>
        </w:rPr>
      </w:pPr>
      <w:r>
        <w:rPr>
          <w:rFonts w:ascii="黑体" w:eastAsia="黑体" w:hAnsi="黑体" w:cs="黑体" w:hint="eastAsia"/>
          <w:sz w:val="28"/>
          <w:szCs w:val="28"/>
        </w:rPr>
        <w:t>一、商品概况</w:t>
      </w:r>
    </w:p>
    <w:p w14:paraId="5BAC054F" w14:textId="77777777" w:rsidR="006174B2" w:rsidRDefault="00000000">
      <w:pPr>
        <w:widowControl/>
        <w:shd w:val="clear" w:color="auto" w:fill="FDFDFE"/>
        <w:spacing w:line="360" w:lineRule="auto"/>
        <w:ind w:firstLineChars="200" w:firstLine="480"/>
        <w:jc w:val="left"/>
        <w:rPr>
          <w:rFonts w:ascii="宋体" w:eastAsia="宋体" w:hAnsi="宋体" w:cs="宋体"/>
          <w:kern w:val="0"/>
          <w:sz w:val="24"/>
          <w:szCs w:val="24"/>
        </w:rPr>
      </w:pPr>
      <w:r>
        <w:rPr>
          <w:rFonts w:ascii="宋体" w:eastAsia="宋体" w:hAnsi="宋体" w:cs="宋体" w:hint="eastAsia"/>
          <w:sz w:val="24"/>
          <w:szCs w:val="24"/>
        </w:rPr>
        <w:t>本商业计划书旨在介绍一款</w:t>
      </w:r>
      <w:r>
        <w:rPr>
          <w:rFonts w:ascii="宋体" w:eastAsia="宋体" w:hAnsi="宋体" w:cs="宋体" w:hint="eastAsia"/>
          <w:kern w:val="0"/>
          <w:sz w:val="24"/>
          <w:szCs w:val="24"/>
        </w:rPr>
        <w:t>智能化、高效便捷的充电服务体系，该充电体系中包含移动充电机器人和大型应急移动储能设备，以满足在能源密集型时代市场对于大规模用电的需求。</w:t>
      </w:r>
    </w:p>
    <w:p w14:paraId="71547BFE" w14:textId="77777777" w:rsidR="006174B2" w:rsidRDefault="00000000">
      <w:pPr>
        <w:widowControl/>
        <w:shd w:val="clear" w:color="auto" w:fill="FDFDFE"/>
        <w:spacing w:line="360" w:lineRule="auto"/>
        <w:jc w:val="left"/>
        <w:rPr>
          <w:rFonts w:ascii="黑体" w:eastAsia="黑体" w:hAnsi="黑体" w:cs="黑体"/>
          <w:kern w:val="0"/>
          <w:sz w:val="28"/>
          <w:szCs w:val="28"/>
        </w:rPr>
      </w:pPr>
      <w:r>
        <w:rPr>
          <w:rFonts w:ascii="黑体" w:eastAsia="黑体" w:hAnsi="黑体" w:cs="黑体" w:hint="eastAsia"/>
          <w:kern w:val="0"/>
          <w:sz w:val="28"/>
          <w:szCs w:val="28"/>
        </w:rPr>
        <w:t>二、主要产品及其优势</w:t>
      </w:r>
    </w:p>
    <w:p w14:paraId="5125A660" w14:textId="77777777" w:rsidR="006174B2" w:rsidRDefault="00000000">
      <w:pPr>
        <w:spacing w:line="360" w:lineRule="auto"/>
        <w:ind w:firstLineChars="200" w:firstLine="480"/>
        <w:rPr>
          <w:rFonts w:ascii="宋体" w:eastAsia="宋体" w:hAnsi="宋体" w:cs="宋体"/>
          <w:kern w:val="0"/>
          <w:sz w:val="24"/>
          <w:szCs w:val="24"/>
        </w:rPr>
      </w:pPr>
      <w:r>
        <w:rPr>
          <w:rFonts w:ascii="宋体" w:eastAsia="宋体" w:hAnsi="宋体" w:cs="宋体" w:hint="eastAsia"/>
          <w:sz w:val="24"/>
          <w:szCs w:val="24"/>
          <w:shd w:val="clear" w:color="auto" w:fill="FFFFFF"/>
        </w:rPr>
        <w:t>我们的主要产品</w:t>
      </w:r>
      <w:r>
        <w:rPr>
          <w:rFonts w:ascii="宋体" w:eastAsia="宋体" w:hAnsi="宋体" w:cs="宋体" w:hint="eastAsia"/>
          <w:sz w:val="24"/>
          <w:szCs w:val="24"/>
        </w:rPr>
        <w:t>移动充电机器人是融合了最前沿的人工智能、无人驾驶、物联网及高效能充电技术</w:t>
      </w:r>
      <w:r>
        <w:rPr>
          <w:rFonts w:ascii="宋体" w:eastAsia="宋体" w:hAnsi="宋体" w:cs="宋体" w:hint="eastAsia"/>
          <w:kern w:val="0"/>
          <w:sz w:val="24"/>
          <w:szCs w:val="24"/>
        </w:rPr>
        <w:t>的智能充电机器人。</w:t>
      </w:r>
    </w:p>
    <w:p w14:paraId="2C6C8851" w14:textId="0880E1C1" w:rsidR="006174B2" w:rsidRDefault="00000000">
      <w:pPr>
        <w:spacing w:line="360" w:lineRule="auto"/>
        <w:ind w:firstLineChars="200" w:firstLine="480"/>
        <w:rPr>
          <w:rFonts w:ascii="宋体" w:eastAsia="宋体" w:hAnsi="宋体" w:cs="宋体"/>
          <w:kern w:val="0"/>
          <w:sz w:val="24"/>
          <w:szCs w:val="24"/>
        </w:rPr>
      </w:pPr>
      <w:r>
        <w:rPr>
          <w:rFonts w:ascii="宋体" w:eastAsia="宋体" w:hAnsi="宋体" w:cs="宋体" w:hint="eastAsia"/>
          <w:sz w:val="24"/>
          <w:szCs w:val="24"/>
        </w:rPr>
        <w:t>其工作特点在于能在</w:t>
      </w:r>
      <w:r>
        <w:rPr>
          <w:rFonts w:ascii="宋体" w:eastAsia="宋体" w:hAnsi="宋体" w:cs="宋体" w:hint="eastAsia"/>
          <w:kern w:val="0"/>
          <w:sz w:val="24"/>
          <w:szCs w:val="24"/>
        </w:rPr>
        <w:t>电力供应故障，自然灾害，供需矛盾等突发情况下灵活供电。</w:t>
      </w:r>
      <w:r w:rsidR="00174C83">
        <w:rPr>
          <w:rFonts w:ascii="宋体" w:eastAsia="宋体" w:hAnsi="宋体" w:cs="宋体" w:hint="eastAsia"/>
          <w:kern w:val="0"/>
          <w:sz w:val="24"/>
          <w:szCs w:val="24"/>
        </w:rPr>
        <w:t>具备大容量储能和快速部署能力</w:t>
      </w:r>
      <w:r w:rsidR="00174C83">
        <w:rPr>
          <w:rFonts w:ascii="宋体" w:eastAsia="宋体" w:hAnsi="宋体" w:cs="宋体" w:hint="eastAsia"/>
          <w:kern w:val="0"/>
          <w:sz w:val="24"/>
          <w:szCs w:val="24"/>
        </w:rPr>
        <w:t>，</w:t>
      </w:r>
      <w:r w:rsidR="00174C83">
        <w:rPr>
          <w:rFonts w:ascii="宋体" w:eastAsia="宋体" w:hAnsi="宋体" w:cs="宋体" w:hint="eastAsia"/>
          <w:kern w:val="0"/>
          <w:sz w:val="24"/>
          <w:szCs w:val="24"/>
        </w:rPr>
        <w:t>可为关键设施或灾区提供稳定可靠的电力支持。</w:t>
      </w:r>
    </w:p>
    <w:p w14:paraId="5732D529" w14:textId="2AB42F11" w:rsidR="00174C83" w:rsidRPr="00174C83" w:rsidRDefault="00174C83" w:rsidP="00174C83">
      <w:pPr>
        <w:spacing w:line="360" w:lineRule="auto"/>
        <w:ind w:firstLineChars="200" w:firstLine="480"/>
        <w:rPr>
          <w:rFonts w:ascii="宋体" w:eastAsia="宋体" w:hAnsi="宋体" w:cs="宋体" w:hint="eastAsia"/>
          <w:sz w:val="24"/>
          <w:szCs w:val="24"/>
        </w:rPr>
      </w:pPr>
      <w:r>
        <w:rPr>
          <w:rFonts w:ascii="宋体" w:eastAsia="宋体" w:hAnsi="宋体" w:cs="宋体" w:hint="eastAsia"/>
          <w:kern w:val="0"/>
          <w:sz w:val="24"/>
          <w:szCs w:val="24"/>
        </w:rPr>
        <w:t>值得一提的应用领域为新能源汽车的充电基础设施领域，移动充电机器人</w:t>
      </w:r>
      <w:r>
        <w:rPr>
          <w:rFonts w:ascii="宋体" w:eastAsia="宋体" w:hAnsi="宋体" w:cs="宋体" w:hint="eastAsia"/>
          <w:sz w:val="24"/>
          <w:szCs w:val="24"/>
        </w:rPr>
        <w:t>打破了传统充电桩的固定性与局限性。它不再受制于地理位置和布线成本的束缚，而是以一种全新的“桩找车”模式，为电动汽车用户提供即</w:t>
      </w:r>
      <w:proofErr w:type="gramStart"/>
      <w:r>
        <w:rPr>
          <w:rFonts w:ascii="宋体" w:eastAsia="宋体" w:hAnsi="宋体" w:cs="宋体" w:hint="eastAsia"/>
          <w:sz w:val="24"/>
          <w:szCs w:val="24"/>
        </w:rPr>
        <w:t>需即充</w:t>
      </w:r>
      <w:proofErr w:type="gramEnd"/>
      <w:r>
        <w:rPr>
          <w:rFonts w:ascii="宋体" w:eastAsia="宋体" w:hAnsi="宋体" w:cs="宋体" w:hint="eastAsia"/>
          <w:sz w:val="24"/>
          <w:szCs w:val="24"/>
        </w:rPr>
        <w:t>的极致体验。</w:t>
      </w:r>
    </w:p>
    <w:p w14:paraId="5AB6644A" w14:textId="77777777" w:rsidR="006174B2" w:rsidRDefault="00000000">
      <w:pPr>
        <w:spacing w:line="360" w:lineRule="auto"/>
        <w:ind w:firstLineChars="200" w:firstLine="480"/>
        <w:rPr>
          <w:rFonts w:ascii="宋体" w:eastAsia="宋体" w:hAnsi="宋体" w:cs="宋体"/>
          <w:kern w:val="0"/>
          <w:sz w:val="24"/>
          <w:szCs w:val="24"/>
        </w:rPr>
      </w:pPr>
      <w:r>
        <w:rPr>
          <w:rFonts w:ascii="宋体" w:eastAsia="宋体" w:hAnsi="宋体" w:cs="宋体" w:hint="eastAsia"/>
          <w:sz w:val="24"/>
          <w:szCs w:val="24"/>
        </w:rPr>
        <w:t>在以上的诸种应用情景下，用户只需手机下单，便可享受</w:t>
      </w:r>
      <w:r>
        <w:rPr>
          <w:rFonts w:ascii="宋体" w:eastAsia="宋体" w:hAnsi="宋体" w:cs="宋体" w:hint="eastAsia"/>
          <w:kern w:val="0"/>
          <w:sz w:val="24"/>
          <w:szCs w:val="24"/>
        </w:rPr>
        <w:t>“外卖”送电服务。</w:t>
      </w:r>
    </w:p>
    <w:p w14:paraId="7FF5E2AF" w14:textId="77777777" w:rsidR="006174B2" w:rsidRDefault="00000000">
      <w:pPr>
        <w:widowControl/>
        <w:shd w:val="clear" w:color="auto" w:fill="FDFDFE"/>
        <w:spacing w:beforeLines="50" w:before="156" w:afterLines="50" w:after="156"/>
        <w:jc w:val="left"/>
        <w:rPr>
          <w:rFonts w:ascii="黑体" w:eastAsia="黑体" w:hAnsi="黑体" w:cs="黑体"/>
          <w:kern w:val="0"/>
          <w:sz w:val="28"/>
          <w:szCs w:val="28"/>
        </w:rPr>
      </w:pPr>
      <w:r>
        <w:rPr>
          <w:rFonts w:ascii="黑体" w:eastAsia="黑体" w:hAnsi="黑体" w:cs="黑体" w:hint="eastAsia"/>
          <w:kern w:val="0"/>
          <w:sz w:val="28"/>
          <w:szCs w:val="28"/>
        </w:rPr>
        <w:t>三、市场分析</w:t>
      </w:r>
    </w:p>
    <w:p w14:paraId="1706434C" w14:textId="77777777" w:rsidR="006174B2" w:rsidRDefault="00000000">
      <w:pPr>
        <w:widowControl/>
        <w:shd w:val="clear" w:color="auto" w:fill="FDFDFE"/>
        <w:spacing w:before="210" w:line="360" w:lineRule="auto"/>
        <w:ind w:firstLineChars="200" w:firstLine="480"/>
        <w:jc w:val="left"/>
        <w:rPr>
          <w:rFonts w:ascii="宋体" w:eastAsia="宋体" w:hAnsi="宋体" w:cs="宋体"/>
          <w:kern w:val="0"/>
          <w:sz w:val="24"/>
          <w:szCs w:val="24"/>
        </w:rPr>
      </w:pPr>
      <w:r>
        <w:rPr>
          <w:rFonts w:ascii="宋体" w:eastAsia="宋体" w:hAnsi="宋体" w:cs="宋体" w:hint="eastAsia"/>
          <w:sz w:val="24"/>
          <w:szCs w:val="24"/>
        </w:rPr>
        <w:t>近年来，我国极端天气频发，使电力系统屡受冲击。如何保证极端天气下稳定的供电，仍是目前亟待解决的问题。同时，自然灾害发生时，如何</w:t>
      </w:r>
      <w:r>
        <w:rPr>
          <w:rFonts w:ascii="宋体" w:eastAsia="宋体" w:hAnsi="宋体" w:cs="宋体" w:hint="eastAsia"/>
          <w:kern w:val="0"/>
          <w:sz w:val="24"/>
          <w:szCs w:val="24"/>
        </w:rPr>
        <w:t>为救灾关键设施或灾区提供稳定可靠的电力支持，也应给予回答。</w:t>
      </w:r>
    </w:p>
    <w:p w14:paraId="6650677D" w14:textId="77777777" w:rsidR="006174B2" w:rsidRDefault="00000000">
      <w:pPr>
        <w:spacing w:line="360" w:lineRule="auto"/>
        <w:ind w:firstLineChars="200" w:firstLine="480"/>
        <w:rPr>
          <w:rFonts w:ascii="宋体" w:eastAsia="宋体" w:hAnsi="宋体" w:cs="宋体"/>
          <w:kern w:val="0"/>
          <w:sz w:val="24"/>
          <w:szCs w:val="24"/>
        </w:rPr>
      </w:pPr>
      <w:r>
        <w:rPr>
          <w:rFonts w:ascii="宋体" w:eastAsia="宋体" w:hAnsi="宋体" w:cs="宋体" w:hint="eastAsia"/>
          <w:sz w:val="24"/>
          <w:szCs w:val="24"/>
        </w:rPr>
        <w:t>此外，在强电运用方面，新能源汽车的市场份额逐年增大，</w:t>
      </w:r>
      <w:r>
        <w:rPr>
          <w:rFonts w:ascii="宋体" w:eastAsia="宋体" w:hAnsi="宋体" w:cs="宋体" w:hint="eastAsia"/>
          <w:sz w:val="24"/>
          <w:szCs w:val="24"/>
          <w:shd w:val="clear" w:color="auto" w:fill="FFFFFF"/>
        </w:rPr>
        <w:t>公共充电</w:t>
      </w:r>
      <w:proofErr w:type="gramStart"/>
      <w:r>
        <w:rPr>
          <w:rFonts w:ascii="宋体" w:eastAsia="宋体" w:hAnsi="宋体" w:cs="宋体" w:hint="eastAsia"/>
          <w:sz w:val="24"/>
          <w:szCs w:val="24"/>
          <w:shd w:val="clear" w:color="auto" w:fill="FFFFFF"/>
        </w:rPr>
        <w:t>桩不够</w:t>
      </w:r>
      <w:proofErr w:type="gramEnd"/>
      <w:r>
        <w:rPr>
          <w:rFonts w:ascii="宋体" w:eastAsia="宋体" w:hAnsi="宋体" w:cs="宋体" w:hint="eastAsia"/>
          <w:sz w:val="24"/>
          <w:szCs w:val="24"/>
          <w:shd w:val="clear" w:color="auto" w:fill="FFFFFF"/>
        </w:rPr>
        <w:t>均衡的分布，使</w:t>
      </w:r>
      <w:r>
        <w:rPr>
          <w:rFonts w:ascii="宋体" w:eastAsia="宋体" w:hAnsi="宋体" w:cs="宋体" w:hint="eastAsia"/>
          <w:kern w:val="0"/>
          <w:sz w:val="24"/>
          <w:szCs w:val="24"/>
        </w:rPr>
        <w:t>高峰时段与偏远地区充电依旧困难。弱电运用方面，智能手机、充电宝、平板电脑等弱电应用给电力应用带来不稳定性。</w:t>
      </w:r>
    </w:p>
    <w:p w14:paraId="359F1F0C" w14:textId="77777777" w:rsidR="006174B2" w:rsidRDefault="00000000">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由此，发展</w:t>
      </w:r>
      <w:r>
        <w:rPr>
          <w:rFonts w:ascii="宋体" w:eastAsia="宋体" w:hAnsi="宋体" w:cs="宋体" w:hint="eastAsia"/>
          <w:sz w:val="24"/>
          <w:szCs w:val="24"/>
        </w:rPr>
        <w:t>移动充电机器人及</w:t>
      </w:r>
      <w:r>
        <w:rPr>
          <w:rFonts w:ascii="宋体" w:eastAsia="宋体" w:hAnsi="宋体" w:cs="宋体" w:hint="eastAsia"/>
          <w:kern w:val="0"/>
          <w:sz w:val="24"/>
          <w:szCs w:val="24"/>
        </w:rPr>
        <w:t>大型应急移动储能设备顺应市场发展趋势。</w:t>
      </w:r>
    </w:p>
    <w:p w14:paraId="3476D3C5" w14:textId="44716203" w:rsidR="006174B2" w:rsidRDefault="00000000">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国家电网公司积极携手各行业领先企业、顶尖高校以及权威社会组织，共同倡导并发起成立了我国首个聚焦新型电力系统技术的创新联盟。能为产品带来资金支持。同时，目前该行业具有较少竞争对手，市场竞争程度低，发展前景良好。</w:t>
      </w:r>
    </w:p>
    <w:p w14:paraId="4DA70030" w14:textId="77777777" w:rsidR="006174B2" w:rsidRDefault="006174B2">
      <w:pPr>
        <w:spacing w:line="292" w:lineRule="exact"/>
        <w:rPr>
          <w:rFonts w:ascii="宋体" w:eastAsia="宋体" w:hAnsi="宋体" w:cs="Segoe UI"/>
          <w:kern w:val="0"/>
          <w:sz w:val="23"/>
          <w:szCs w:val="23"/>
        </w:rPr>
      </w:pPr>
    </w:p>
    <w:p w14:paraId="1ABF0031" w14:textId="77777777" w:rsidR="006174B2" w:rsidRDefault="00000000">
      <w:pPr>
        <w:spacing w:beforeLines="50" w:before="156" w:afterLines="50" w:after="156"/>
        <w:rPr>
          <w:rFonts w:ascii="黑体" w:eastAsia="黑体" w:hAnsi="黑体" w:cs="黑体"/>
          <w:kern w:val="0"/>
          <w:sz w:val="28"/>
          <w:szCs w:val="28"/>
        </w:rPr>
      </w:pPr>
      <w:r>
        <w:rPr>
          <w:rFonts w:ascii="黑体" w:eastAsia="黑体" w:hAnsi="黑体" w:cs="黑体" w:hint="eastAsia"/>
          <w:kern w:val="0"/>
          <w:sz w:val="28"/>
          <w:szCs w:val="28"/>
        </w:rPr>
        <w:t>四、营销规划</w:t>
      </w:r>
    </w:p>
    <w:p w14:paraId="2C77079B" w14:textId="77777777" w:rsidR="006174B2" w:rsidRDefault="00000000">
      <w:pPr>
        <w:widowControl/>
        <w:shd w:val="clear" w:color="auto" w:fill="FDFDFE"/>
        <w:spacing w:line="360" w:lineRule="auto"/>
        <w:ind w:firstLineChars="200" w:firstLine="480"/>
        <w:jc w:val="left"/>
        <w:rPr>
          <w:rFonts w:ascii="宋体" w:eastAsia="宋体" w:hAnsi="宋体" w:cs="Segoe UI"/>
          <w:kern w:val="0"/>
          <w:sz w:val="24"/>
          <w:szCs w:val="24"/>
        </w:rPr>
      </w:pPr>
      <w:r>
        <w:rPr>
          <w:rFonts w:ascii="宋体" w:eastAsia="宋体" w:hAnsi="宋体" w:cs="Segoe UI" w:hint="eastAsia"/>
          <w:kern w:val="0"/>
          <w:sz w:val="24"/>
          <w:szCs w:val="24"/>
        </w:rPr>
        <w:lastRenderedPageBreak/>
        <w:t>制定三步走营销战略。于前期研发阶段做好相关技术研究，探索技术应用，推动产品创新和功能升级。试点运营过渡阶段：在选定的区域进行试点运营，收集用户反馈，调整产品功能和服务模式。最终的市场推广阶段：通过线上线下相结合的方式进行市场推广，提高品牌知名度和市场占有率。</w:t>
      </w:r>
    </w:p>
    <w:p w14:paraId="6D6B9ACD" w14:textId="77777777" w:rsidR="006174B2" w:rsidRDefault="00000000">
      <w:pPr>
        <w:widowControl/>
        <w:shd w:val="clear" w:color="auto" w:fill="FDFDFE"/>
        <w:spacing w:beforeLines="50" w:before="156" w:afterLines="50" w:after="156"/>
        <w:jc w:val="left"/>
        <w:rPr>
          <w:rFonts w:ascii="黑体" w:eastAsia="黑体" w:hAnsi="黑体" w:cs="黑体"/>
          <w:kern w:val="0"/>
          <w:sz w:val="28"/>
          <w:szCs w:val="28"/>
        </w:rPr>
      </w:pPr>
      <w:r>
        <w:rPr>
          <w:rFonts w:ascii="黑体" w:eastAsia="黑体" w:hAnsi="黑体" w:cs="黑体" w:hint="eastAsia"/>
          <w:kern w:val="0"/>
          <w:sz w:val="28"/>
          <w:szCs w:val="28"/>
        </w:rPr>
        <w:t>五、财务展望</w:t>
      </w:r>
    </w:p>
    <w:p w14:paraId="541E8DFA" w14:textId="77777777" w:rsidR="006174B2" w:rsidRDefault="00000000">
      <w:pPr>
        <w:widowControl/>
        <w:spacing w:line="360" w:lineRule="auto"/>
        <w:ind w:firstLineChars="200" w:firstLine="476"/>
        <w:rPr>
          <w:rFonts w:ascii="Times New Roman" w:eastAsia="宋体" w:hAnsi="Times New Roman" w:cs="Segoe UI"/>
          <w:kern w:val="0"/>
          <w:sz w:val="23"/>
          <w:szCs w:val="23"/>
        </w:rPr>
      </w:pPr>
      <w:r>
        <w:rPr>
          <w:rFonts w:ascii="Times New Roman" w:eastAsia="宋体" w:hAnsi="Times New Roman"/>
          <w:spacing w:val="4"/>
          <w:kern w:val="0"/>
          <w:sz w:val="23"/>
          <w:szCs w:val="23"/>
          <w:shd w:val="clear" w:color="auto" w:fill="FFFFFF"/>
        </w:rPr>
        <w:t>综合考虑设备购置、研发投入等投资活动以及债务融资、股权融资等筹资活动产生的现金流量，预测本公司年度现金流量为</w:t>
      </w:r>
      <w:r>
        <w:rPr>
          <w:rFonts w:ascii="Times New Roman" w:eastAsia="宋体" w:hAnsi="Times New Roman"/>
          <w:spacing w:val="4"/>
          <w:kern w:val="0"/>
          <w:sz w:val="23"/>
          <w:szCs w:val="23"/>
          <w:shd w:val="clear" w:color="auto" w:fill="FFFFFF"/>
        </w:rPr>
        <w:t>50</w:t>
      </w:r>
      <w:r>
        <w:rPr>
          <w:rFonts w:ascii="Times New Roman" w:eastAsia="宋体" w:hAnsi="Times New Roman"/>
          <w:spacing w:val="4"/>
          <w:kern w:val="0"/>
          <w:sz w:val="23"/>
          <w:szCs w:val="23"/>
          <w:shd w:val="clear" w:color="auto" w:fill="FFFFFF"/>
        </w:rPr>
        <w:t>万元。</w:t>
      </w:r>
      <w:r>
        <w:rPr>
          <w:rFonts w:ascii="Times New Roman" w:eastAsia="宋体" w:hAnsi="Times New Roman" w:hint="eastAsia"/>
          <w:spacing w:val="4"/>
          <w:kern w:val="0"/>
          <w:sz w:val="23"/>
          <w:szCs w:val="23"/>
          <w:shd w:val="clear" w:color="auto" w:fill="FFFFFF"/>
        </w:rPr>
        <w:t>盈利情况方面，虽然</w:t>
      </w:r>
      <w:r>
        <w:rPr>
          <w:rFonts w:ascii="Times New Roman" w:eastAsia="宋体" w:hAnsi="Times New Roman" w:cs="Segoe UI"/>
          <w:kern w:val="0"/>
          <w:sz w:val="23"/>
          <w:szCs w:val="23"/>
        </w:rPr>
        <w:t>项目在第一年将面临亏损</w:t>
      </w:r>
      <w:r>
        <w:rPr>
          <w:rFonts w:ascii="Times New Roman" w:eastAsia="宋体" w:hAnsi="Times New Roman" w:cs="Segoe UI" w:hint="eastAsia"/>
          <w:kern w:val="0"/>
          <w:sz w:val="23"/>
          <w:szCs w:val="23"/>
        </w:rPr>
        <w:t>，但</w:t>
      </w:r>
      <w:r>
        <w:rPr>
          <w:rFonts w:ascii="Times New Roman" w:eastAsia="宋体" w:hAnsi="Times New Roman" w:cs="Segoe UI"/>
          <w:kern w:val="0"/>
          <w:sz w:val="23"/>
          <w:szCs w:val="23"/>
        </w:rPr>
        <w:t>在不考虑折现因素的情况下，投资者大约在</w:t>
      </w:r>
      <w:r>
        <w:rPr>
          <w:rFonts w:ascii="Times New Roman" w:eastAsia="宋体" w:hAnsi="Times New Roman" w:cs="Segoe UI"/>
          <w:kern w:val="0"/>
          <w:sz w:val="23"/>
          <w:szCs w:val="23"/>
        </w:rPr>
        <w:t>1.36</w:t>
      </w:r>
      <w:r>
        <w:rPr>
          <w:rFonts w:ascii="Times New Roman" w:eastAsia="宋体" w:hAnsi="Times New Roman" w:cs="Segoe UI"/>
          <w:kern w:val="0"/>
          <w:sz w:val="23"/>
          <w:szCs w:val="23"/>
        </w:rPr>
        <w:t>年内能够收回初始投资成本。</w:t>
      </w:r>
    </w:p>
    <w:p w14:paraId="3339920D" w14:textId="77777777" w:rsidR="006174B2" w:rsidRDefault="006174B2">
      <w:pPr>
        <w:widowControl/>
        <w:rPr>
          <w:rFonts w:ascii="宋体" w:eastAsia="宋体" w:hAnsi="宋体" w:cs="Segoe UI"/>
          <w:kern w:val="0"/>
          <w:sz w:val="23"/>
          <w:szCs w:val="23"/>
        </w:rPr>
      </w:pPr>
    </w:p>
    <w:p w14:paraId="42A4DB95" w14:textId="77777777" w:rsidR="006174B2" w:rsidRDefault="006174B2">
      <w:pPr>
        <w:widowControl/>
        <w:rPr>
          <w:rFonts w:ascii="宋体" w:eastAsia="宋体" w:hAnsi="宋体" w:cs="Segoe UI"/>
          <w:kern w:val="0"/>
          <w:sz w:val="23"/>
          <w:szCs w:val="23"/>
        </w:rPr>
      </w:pPr>
    </w:p>
    <w:p w14:paraId="4988BB52" w14:textId="77777777" w:rsidR="006174B2" w:rsidRDefault="006174B2">
      <w:pPr>
        <w:widowControl/>
        <w:rPr>
          <w:rFonts w:ascii="宋体" w:eastAsia="宋体" w:hAnsi="宋体" w:cs="Segoe UI"/>
          <w:kern w:val="0"/>
          <w:sz w:val="23"/>
          <w:szCs w:val="23"/>
        </w:rPr>
      </w:pPr>
    </w:p>
    <w:p w14:paraId="1D870A9D" w14:textId="77777777" w:rsidR="006174B2" w:rsidRDefault="006174B2">
      <w:pPr>
        <w:widowControl/>
        <w:jc w:val="center"/>
        <w:rPr>
          <w:rFonts w:ascii="黑体" w:eastAsia="黑体" w:hAnsi="黑体" w:cs="黑体"/>
          <w:kern w:val="0"/>
          <w:sz w:val="32"/>
          <w:szCs w:val="32"/>
        </w:rPr>
      </w:pPr>
    </w:p>
    <w:p w14:paraId="60AEE9FF" w14:textId="77777777" w:rsidR="006174B2" w:rsidRDefault="006174B2">
      <w:pPr>
        <w:widowControl/>
        <w:jc w:val="center"/>
        <w:rPr>
          <w:rFonts w:ascii="黑体" w:eastAsia="黑体" w:hAnsi="黑体" w:cs="黑体"/>
          <w:kern w:val="0"/>
          <w:sz w:val="32"/>
          <w:szCs w:val="32"/>
        </w:rPr>
      </w:pPr>
    </w:p>
    <w:p w14:paraId="3153C7FC" w14:textId="77777777" w:rsidR="006174B2" w:rsidRDefault="006174B2">
      <w:pPr>
        <w:widowControl/>
        <w:jc w:val="center"/>
        <w:rPr>
          <w:rFonts w:ascii="黑体" w:eastAsia="黑体" w:hAnsi="黑体" w:cs="黑体"/>
          <w:kern w:val="0"/>
          <w:sz w:val="32"/>
          <w:szCs w:val="32"/>
        </w:rPr>
      </w:pPr>
    </w:p>
    <w:p w14:paraId="762BDB0C" w14:textId="77777777" w:rsidR="006174B2" w:rsidRDefault="006174B2">
      <w:pPr>
        <w:widowControl/>
        <w:jc w:val="center"/>
        <w:rPr>
          <w:rFonts w:ascii="黑体" w:eastAsia="黑体" w:hAnsi="黑体" w:cs="黑体"/>
          <w:kern w:val="0"/>
          <w:sz w:val="32"/>
          <w:szCs w:val="32"/>
        </w:rPr>
      </w:pPr>
    </w:p>
    <w:p w14:paraId="0B7F46A9" w14:textId="77777777" w:rsidR="006174B2" w:rsidRDefault="006174B2">
      <w:pPr>
        <w:widowControl/>
        <w:jc w:val="center"/>
        <w:rPr>
          <w:rFonts w:ascii="黑体" w:eastAsia="黑体" w:hAnsi="黑体" w:cs="黑体"/>
          <w:kern w:val="0"/>
          <w:sz w:val="32"/>
          <w:szCs w:val="32"/>
        </w:rPr>
      </w:pPr>
    </w:p>
    <w:p w14:paraId="2CC67911" w14:textId="77777777" w:rsidR="006174B2" w:rsidRDefault="006174B2">
      <w:pPr>
        <w:widowControl/>
        <w:jc w:val="center"/>
        <w:rPr>
          <w:rFonts w:ascii="黑体" w:eastAsia="黑体" w:hAnsi="黑体" w:cs="黑体"/>
          <w:kern w:val="0"/>
          <w:sz w:val="32"/>
          <w:szCs w:val="32"/>
        </w:rPr>
      </w:pPr>
    </w:p>
    <w:p w14:paraId="551F5971" w14:textId="77777777" w:rsidR="006174B2" w:rsidRDefault="006174B2">
      <w:pPr>
        <w:widowControl/>
        <w:jc w:val="center"/>
        <w:rPr>
          <w:rFonts w:ascii="黑体" w:eastAsia="黑体" w:hAnsi="黑体" w:cs="黑体"/>
          <w:kern w:val="0"/>
          <w:sz w:val="32"/>
          <w:szCs w:val="32"/>
        </w:rPr>
      </w:pPr>
    </w:p>
    <w:p w14:paraId="2EB71CD8" w14:textId="77777777" w:rsidR="006174B2" w:rsidRDefault="006174B2">
      <w:pPr>
        <w:widowControl/>
        <w:jc w:val="center"/>
        <w:rPr>
          <w:rFonts w:ascii="黑体" w:eastAsia="黑体" w:hAnsi="黑体" w:cs="黑体"/>
          <w:kern w:val="0"/>
          <w:sz w:val="32"/>
          <w:szCs w:val="32"/>
        </w:rPr>
      </w:pPr>
    </w:p>
    <w:p w14:paraId="41DA4750" w14:textId="77777777" w:rsidR="006174B2" w:rsidRDefault="006174B2">
      <w:pPr>
        <w:widowControl/>
        <w:jc w:val="center"/>
        <w:rPr>
          <w:rFonts w:ascii="黑体" w:eastAsia="黑体" w:hAnsi="黑体" w:cs="黑体"/>
          <w:kern w:val="0"/>
          <w:sz w:val="32"/>
          <w:szCs w:val="32"/>
        </w:rPr>
      </w:pPr>
    </w:p>
    <w:p w14:paraId="6DEE8E6B" w14:textId="77777777" w:rsidR="006174B2" w:rsidRDefault="006174B2">
      <w:pPr>
        <w:widowControl/>
        <w:jc w:val="center"/>
        <w:rPr>
          <w:rFonts w:ascii="黑体" w:eastAsia="黑体" w:hAnsi="黑体" w:cs="黑体"/>
          <w:kern w:val="0"/>
          <w:sz w:val="32"/>
          <w:szCs w:val="32"/>
        </w:rPr>
      </w:pPr>
    </w:p>
    <w:p w14:paraId="73DA8E36" w14:textId="77777777" w:rsidR="006174B2" w:rsidRDefault="006174B2">
      <w:pPr>
        <w:widowControl/>
        <w:jc w:val="center"/>
        <w:rPr>
          <w:rFonts w:ascii="黑体" w:eastAsia="黑体" w:hAnsi="黑体" w:cs="黑体"/>
          <w:kern w:val="0"/>
          <w:sz w:val="32"/>
          <w:szCs w:val="32"/>
        </w:rPr>
      </w:pPr>
    </w:p>
    <w:p w14:paraId="228EAAD3" w14:textId="77777777" w:rsidR="006174B2" w:rsidRDefault="006174B2">
      <w:pPr>
        <w:widowControl/>
        <w:jc w:val="center"/>
        <w:rPr>
          <w:rFonts w:ascii="黑体" w:eastAsia="黑体" w:hAnsi="黑体" w:cs="黑体"/>
          <w:kern w:val="0"/>
          <w:sz w:val="32"/>
          <w:szCs w:val="32"/>
        </w:rPr>
      </w:pPr>
    </w:p>
    <w:p w14:paraId="563C2835" w14:textId="77777777" w:rsidR="006174B2" w:rsidRDefault="006174B2">
      <w:pPr>
        <w:widowControl/>
        <w:jc w:val="center"/>
        <w:rPr>
          <w:rFonts w:ascii="黑体" w:eastAsia="黑体" w:hAnsi="黑体" w:cs="黑体"/>
          <w:kern w:val="0"/>
          <w:sz w:val="32"/>
          <w:szCs w:val="32"/>
        </w:rPr>
      </w:pPr>
    </w:p>
    <w:p w14:paraId="5CDF6500" w14:textId="77777777" w:rsidR="006174B2" w:rsidRDefault="00000000">
      <w:pPr>
        <w:widowControl/>
        <w:jc w:val="center"/>
        <w:rPr>
          <w:rFonts w:ascii="黑体" w:eastAsia="黑体" w:hAnsi="黑体" w:cs="黑体"/>
          <w:b/>
          <w:bCs/>
          <w:kern w:val="0"/>
          <w:sz w:val="32"/>
          <w:szCs w:val="32"/>
        </w:rPr>
      </w:pPr>
      <w:r>
        <w:rPr>
          <w:rFonts w:ascii="黑体" w:eastAsia="黑体" w:hAnsi="黑体" w:cs="黑体" w:hint="eastAsia"/>
          <w:kern w:val="0"/>
          <w:sz w:val="32"/>
          <w:szCs w:val="32"/>
        </w:rPr>
        <w:t>商业计划书目录</w:t>
      </w:r>
    </w:p>
    <w:p w14:paraId="0132927C" w14:textId="77777777" w:rsidR="006174B2" w:rsidRDefault="006174B2"/>
    <w:p w14:paraId="0C2A5E97" w14:textId="77777777" w:rsidR="006174B2" w:rsidRDefault="006174B2">
      <w:pPr>
        <w:ind w:firstLine="480"/>
        <w:jc w:val="center"/>
      </w:pPr>
    </w:p>
    <w:p w14:paraId="507B7B88" w14:textId="77777777" w:rsidR="006174B2" w:rsidRDefault="00000000">
      <w:pPr>
        <w:pStyle w:val="TOC1"/>
        <w:tabs>
          <w:tab w:val="right" w:leader="dot" w:pos="9071"/>
        </w:tabs>
      </w:pPr>
      <w:r>
        <w:rPr>
          <w:rFonts w:ascii="宋体" w:eastAsia="宋体" w:hAnsi="宋体" w:cs="Segoe UI" w:hint="eastAsia"/>
          <w:b/>
          <w:bCs/>
          <w:sz w:val="23"/>
          <w:szCs w:val="23"/>
        </w:rPr>
        <w:fldChar w:fldCharType="begin"/>
      </w:r>
      <w:r>
        <w:rPr>
          <w:rFonts w:ascii="宋体" w:eastAsia="宋体" w:hAnsi="宋体" w:cs="Segoe UI" w:hint="eastAsia"/>
          <w:b/>
          <w:bCs/>
          <w:sz w:val="23"/>
          <w:szCs w:val="23"/>
        </w:rPr>
        <w:instrText xml:space="preserve">TOC \o "1-2" \h \u </w:instrText>
      </w:r>
      <w:r>
        <w:rPr>
          <w:rFonts w:ascii="宋体" w:eastAsia="宋体" w:hAnsi="宋体" w:cs="Segoe UI" w:hint="eastAsia"/>
          <w:b/>
          <w:bCs/>
          <w:sz w:val="23"/>
          <w:szCs w:val="23"/>
        </w:rPr>
        <w:fldChar w:fldCharType="separate"/>
      </w:r>
      <w:hyperlink w:anchor="_Toc27977" w:history="1">
        <w:r>
          <w:rPr>
            <w:rFonts w:ascii="黑体" w:eastAsia="黑体" w:hAnsi="黑体" w:cs="黑体" w:hint="eastAsia"/>
            <w:kern w:val="0"/>
            <w:szCs w:val="32"/>
          </w:rPr>
          <w:t>一、创意主旨与背景分析</w:t>
        </w:r>
        <w:r>
          <w:tab/>
        </w:r>
        <w:r>
          <w:fldChar w:fldCharType="begin"/>
        </w:r>
        <w:r>
          <w:instrText xml:space="preserve"> PAGEREF _Toc27977 \h </w:instrText>
        </w:r>
        <w:r>
          <w:fldChar w:fldCharType="separate"/>
        </w:r>
        <w:r>
          <w:t>1</w:t>
        </w:r>
        <w:r>
          <w:fldChar w:fldCharType="end"/>
        </w:r>
      </w:hyperlink>
    </w:p>
    <w:p w14:paraId="2C3EE9FC" w14:textId="77777777" w:rsidR="006174B2" w:rsidRDefault="00000000">
      <w:pPr>
        <w:pStyle w:val="TOC2"/>
        <w:tabs>
          <w:tab w:val="right" w:leader="dot" w:pos="9071"/>
        </w:tabs>
      </w:pPr>
      <w:hyperlink w:anchor="_Toc20945" w:history="1">
        <w:r>
          <w:rPr>
            <w:rFonts w:ascii="黑体" w:eastAsia="黑体" w:hAnsi="黑体" w:cs="黑体" w:hint="eastAsia"/>
            <w:kern w:val="0"/>
            <w:szCs w:val="28"/>
          </w:rPr>
          <w:t>1.1 创意主旨阐述</w:t>
        </w:r>
        <w:r>
          <w:tab/>
        </w:r>
        <w:r>
          <w:fldChar w:fldCharType="begin"/>
        </w:r>
        <w:r>
          <w:instrText xml:space="preserve"> PAGEREF _Toc20945 \h </w:instrText>
        </w:r>
        <w:r>
          <w:fldChar w:fldCharType="separate"/>
        </w:r>
        <w:r>
          <w:t>1</w:t>
        </w:r>
        <w:r>
          <w:fldChar w:fldCharType="end"/>
        </w:r>
      </w:hyperlink>
    </w:p>
    <w:p w14:paraId="04A334FA" w14:textId="77777777" w:rsidR="006174B2" w:rsidRDefault="00000000">
      <w:pPr>
        <w:pStyle w:val="TOC2"/>
        <w:tabs>
          <w:tab w:val="right" w:leader="dot" w:pos="9071"/>
        </w:tabs>
      </w:pPr>
      <w:hyperlink w:anchor="_Toc2476" w:history="1">
        <w:r>
          <w:rPr>
            <w:rFonts w:ascii="黑体" w:eastAsia="黑体" w:hAnsi="黑体" w:cs="黑体" w:hint="eastAsia"/>
            <w:kern w:val="0"/>
            <w:szCs w:val="28"/>
          </w:rPr>
          <w:t xml:space="preserve">1.2 </w:t>
        </w:r>
        <w:r>
          <w:rPr>
            <w:rFonts w:ascii="黑体" w:eastAsia="黑体" w:hAnsi="黑体" w:cs="黑体" w:hint="eastAsia"/>
            <w:bCs/>
            <w:kern w:val="0"/>
            <w:szCs w:val="28"/>
          </w:rPr>
          <w:t>创意背景</w:t>
        </w:r>
        <w:r>
          <w:tab/>
        </w:r>
        <w:r>
          <w:fldChar w:fldCharType="begin"/>
        </w:r>
        <w:r>
          <w:instrText xml:space="preserve"> PAGEREF _Toc2476 \h </w:instrText>
        </w:r>
        <w:r>
          <w:fldChar w:fldCharType="separate"/>
        </w:r>
        <w:r>
          <w:t>1</w:t>
        </w:r>
        <w:r>
          <w:fldChar w:fldCharType="end"/>
        </w:r>
      </w:hyperlink>
    </w:p>
    <w:p w14:paraId="043418CA" w14:textId="77777777" w:rsidR="006174B2" w:rsidRDefault="00000000">
      <w:pPr>
        <w:pStyle w:val="TOC2"/>
        <w:tabs>
          <w:tab w:val="right" w:leader="dot" w:pos="9071"/>
        </w:tabs>
      </w:pPr>
      <w:hyperlink w:anchor="_Toc26485" w:history="1">
        <w:r>
          <w:rPr>
            <w:rFonts w:ascii="黑体" w:eastAsia="黑体" w:hAnsi="黑体" w:cs="黑体" w:hint="eastAsia"/>
            <w:kern w:val="0"/>
            <w:szCs w:val="28"/>
          </w:rPr>
          <w:t>1.3 响应国家政策下的政企联动</w:t>
        </w:r>
        <w:r>
          <w:tab/>
        </w:r>
        <w:r>
          <w:fldChar w:fldCharType="begin"/>
        </w:r>
        <w:r>
          <w:instrText xml:space="preserve"> PAGEREF _Toc26485 \h </w:instrText>
        </w:r>
        <w:r>
          <w:fldChar w:fldCharType="separate"/>
        </w:r>
        <w:r>
          <w:t>3</w:t>
        </w:r>
        <w:r>
          <w:fldChar w:fldCharType="end"/>
        </w:r>
      </w:hyperlink>
    </w:p>
    <w:p w14:paraId="5DA7B92D" w14:textId="77777777" w:rsidR="006174B2" w:rsidRDefault="00000000">
      <w:pPr>
        <w:pStyle w:val="TOC1"/>
        <w:tabs>
          <w:tab w:val="right" w:leader="dot" w:pos="9071"/>
        </w:tabs>
      </w:pPr>
      <w:hyperlink w:anchor="_Toc13057" w:history="1">
        <w:r>
          <w:rPr>
            <w:rFonts w:ascii="黑体" w:eastAsia="黑体" w:hAnsi="黑体" w:cs="黑体" w:hint="eastAsia"/>
            <w:kern w:val="0"/>
            <w:szCs w:val="32"/>
          </w:rPr>
          <w:t>二、项目服务或产品效果展示</w:t>
        </w:r>
        <w:r>
          <w:tab/>
        </w:r>
        <w:r>
          <w:fldChar w:fldCharType="begin"/>
        </w:r>
        <w:r>
          <w:instrText xml:space="preserve"> PAGEREF _Toc13057 \h </w:instrText>
        </w:r>
        <w:r>
          <w:fldChar w:fldCharType="separate"/>
        </w:r>
        <w:r>
          <w:t>3</w:t>
        </w:r>
        <w:r>
          <w:fldChar w:fldCharType="end"/>
        </w:r>
      </w:hyperlink>
    </w:p>
    <w:p w14:paraId="0677CB3E" w14:textId="77777777" w:rsidR="006174B2" w:rsidRDefault="00000000">
      <w:pPr>
        <w:pStyle w:val="TOC2"/>
        <w:tabs>
          <w:tab w:val="right" w:leader="dot" w:pos="9071"/>
        </w:tabs>
      </w:pPr>
      <w:hyperlink w:anchor="_Toc9119" w:history="1">
        <w:r>
          <w:rPr>
            <w:rFonts w:ascii="黑体" w:eastAsia="黑体" w:hAnsi="黑体" w:cs="黑体" w:hint="eastAsia"/>
            <w:kern w:val="0"/>
            <w:szCs w:val="28"/>
          </w:rPr>
          <w:t>2.1 产品或服务概述</w:t>
        </w:r>
        <w:r>
          <w:tab/>
        </w:r>
        <w:r>
          <w:fldChar w:fldCharType="begin"/>
        </w:r>
        <w:r>
          <w:instrText xml:space="preserve"> PAGEREF _Toc9119 \h </w:instrText>
        </w:r>
        <w:r>
          <w:fldChar w:fldCharType="separate"/>
        </w:r>
        <w:r>
          <w:t>3</w:t>
        </w:r>
        <w:r>
          <w:fldChar w:fldCharType="end"/>
        </w:r>
      </w:hyperlink>
    </w:p>
    <w:p w14:paraId="3CBCBF79" w14:textId="77777777" w:rsidR="006174B2" w:rsidRDefault="00000000">
      <w:pPr>
        <w:pStyle w:val="TOC2"/>
        <w:tabs>
          <w:tab w:val="right" w:leader="dot" w:pos="9071"/>
        </w:tabs>
      </w:pPr>
      <w:hyperlink w:anchor="_Toc19315" w:history="1">
        <w:r>
          <w:rPr>
            <w:rFonts w:ascii="黑体" w:eastAsia="黑体" w:hAnsi="黑体" w:cs="黑体" w:hint="eastAsia"/>
            <w:kern w:val="0"/>
            <w:szCs w:val="28"/>
          </w:rPr>
          <w:t>2.2 产品价格定位</w:t>
        </w:r>
        <w:r>
          <w:tab/>
        </w:r>
        <w:r>
          <w:fldChar w:fldCharType="begin"/>
        </w:r>
        <w:r>
          <w:instrText xml:space="preserve"> PAGEREF _Toc19315 \h </w:instrText>
        </w:r>
        <w:r>
          <w:fldChar w:fldCharType="separate"/>
        </w:r>
        <w:r>
          <w:t>4</w:t>
        </w:r>
        <w:r>
          <w:fldChar w:fldCharType="end"/>
        </w:r>
      </w:hyperlink>
    </w:p>
    <w:p w14:paraId="300A5668" w14:textId="77777777" w:rsidR="006174B2" w:rsidRDefault="00000000">
      <w:pPr>
        <w:pStyle w:val="TOC2"/>
        <w:tabs>
          <w:tab w:val="right" w:leader="dot" w:pos="9071"/>
        </w:tabs>
      </w:pPr>
      <w:hyperlink w:anchor="_Toc14461" w:history="1">
        <w:r>
          <w:rPr>
            <w:rFonts w:ascii="黑体" w:eastAsia="黑体" w:hAnsi="黑体" w:cs="黑体" w:hint="eastAsia"/>
            <w:kern w:val="0"/>
            <w:szCs w:val="28"/>
          </w:rPr>
          <w:t>2.3 技术原理分析</w:t>
        </w:r>
        <w:r>
          <w:tab/>
        </w:r>
        <w:r>
          <w:fldChar w:fldCharType="begin"/>
        </w:r>
        <w:r>
          <w:instrText xml:space="preserve"> PAGEREF _Toc14461 \h </w:instrText>
        </w:r>
        <w:r>
          <w:fldChar w:fldCharType="separate"/>
        </w:r>
        <w:r>
          <w:t>5</w:t>
        </w:r>
        <w:r>
          <w:fldChar w:fldCharType="end"/>
        </w:r>
      </w:hyperlink>
    </w:p>
    <w:p w14:paraId="17A19845" w14:textId="77777777" w:rsidR="006174B2" w:rsidRDefault="00000000">
      <w:pPr>
        <w:pStyle w:val="TOC2"/>
        <w:tabs>
          <w:tab w:val="right" w:leader="dot" w:pos="9071"/>
        </w:tabs>
      </w:pPr>
      <w:hyperlink w:anchor="_Toc15186" w:history="1">
        <w:r>
          <w:rPr>
            <w:rFonts w:ascii="黑体" w:eastAsia="黑体" w:hAnsi="黑体" w:cs="黑体" w:hint="eastAsia"/>
            <w:kern w:val="0"/>
            <w:szCs w:val="28"/>
          </w:rPr>
          <w:t>2.4 产品或服务效果预期</w:t>
        </w:r>
        <w:r>
          <w:tab/>
        </w:r>
        <w:r>
          <w:fldChar w:fldCharType="begin"/>
        </w:r>
        <w:r>
          <w:instrText xml:space="preserve"> PAGEREF _Toc15186 \h </w:instrText>
        </w:r>
        <w:r>
          <w:fldChar w:fldCharType="separate"/>
        </w:r>
        <w:r>
          <w:t>6</w:t>
        </w:r>
        <w:r>
          <w:fldChar w:fldCharType="end"/>
        </w:r>
      </w:hyperlink>
    </w:p>
    <w:p w14:paraId="2D5B434B" w14:textId="77777777" w:rsidR="006174B2" w:rsidRDefault="00000000">
      <w:pPr>
        <w:pStyle w:val="TOC1"/>
        <w:tabs>
          <w:tab w:val="right" w:leader="dot" w:pos="9071"/>
        </w:tabs>
      </w:pPr>
      <w:hyperlink w:anchor="_Toc26155" w:history="1">
        <w:r>
          <w:rPr>
            <w:rFonts w:ascii="黑体" w:eastAsia="黑体" w:hAnsi="黑体" w:cs="黑体" w:hint="eastAsia"/>
            <w:kern w:val="0"/>
            <w:szCs w:val="32"/>
          </w:rPr>
          <w:t>三、市场前景与商业模式</w:t>
        </w:r>
        <w:r>
          <w:tab/>
        </w:r>
        <w:r>
          <w:fldChar w:fldCharType="begin"/>
        </w:r>
        <w:r>
          <w:instrText xml:space="preserve"> PAGEREF _Toc26155 \h </w:instrText>
        </w:r>
        <w:r>
          <w:fldChar w:fldCharType="separate"/>
        </w:r>
        <w:r>
          <w:t>7</w:t>
        </w:r>
        <w:r>
          <w:fldChar w:fldCharType="end"/>
        </w:r>
      </w:hyperlink>
    </w:p>
    <w:p w14:paraId="21315EE0" w14:textId="77777777" w:rsidR="006174B2" w:rsidRDefault="00000000">
      <w:pPr>
        <w:pStyle w:val="TOC2"/>
        <w:tabs>
          <w:tab w:val="right" w:leader="dot" w:pos="9071"/>
        </w:tabs>
      </w:pPr>
      <w:hyperlink w:anchor="_Toc22533" w:history="1">
        <w:r>
          <w:rPr>
            <w:rFonts w:ascii="黑体" w:eastAsia="黑体" w:hAnsi="黑体" w:cs="黑体" w:hint="eastAsia"/>
            <w:kern w:val="0"/>
            <w:szCs w:val="28"/>
          </w:rPr>
          <w:t>3.1 市场前景分析</w:t>
        </w:r>
        <w:r>
          <w:tab/>
        </w:r>
        <w:r>
          <w:fldChar w:fldCharType="begin"/>
        </w:r>
        <w:r>
          <w:instrText xml:space="preserve"> PAGEREF _Toc22533 \h </w:instrText>
        </w:r>
        <w:r>
          <w:fldChar w:fldCharType="separate"/>
        </w:r>
        <w:r>
          <w:t>7</w:t>
        </w:r>
        <w:r>
          <w:fldChar w:fldCharType="end"/>
        </w:r>
      </w:hyperlink>
    </w:p>
    <w:p w14:paraId="7E118DEA" w14:textId="77777777" w:rsidR="006174B2" w:rsidRDefault="00000000">
      <w:pPr>
        <w:pStyle w:val="TOC2"/>
        <w:tabs>
          <w:tab w:val="right" w:leader="dot" w:pos="9071"/>
        </w:tabs>
      </w:pPr>
      <w:hyperlink w:anchor="_Toc17907" w:history="1">
        <w:r>
          <w:rPr>
            <w:rFonts w:ascii="黑体" w:eastAsia="黑体" w:hAnsi="黑体" w:cs="黑体" w:hint="eastAsia"/>
            <w:kern w:val="0"/>
            <w:szCs w:val="28"/>
          </w:rPr>
          <w:t>3.2 目标市场定位</w:t>
        </w:r>
        <w:r>
          <w:tab/>
        </w:r>
        <w:r>
          <w:fldChar w:fldCharType="begin"/>
        </w:r>
        <w:r>
          <w:instrText xml:space="preserve"> PAGEREF _Toc17907 \h </w:instrText>
        </w:r>
        <w:r>
          <w:fldChar w:fldCharType="separate"/>
        </w:r>
        <w:r>
          <w:t>7</w:t>
        </w:r>
        <w:r>
          <w:fldChar w:fldCharType="end"/>
        </w:r>
      </w:hyperlink>
    </w:p>
    <w:p w14:paraId="027E4259" w14:textId="77777777" w:rsidR="006174B2" w:rsidRDefault="00000000">
      <w:pPr>
        <w:pStyle w:val="TOC2"/>
        <w:tabs>
          <w:tab w:val="right" w:leader="dot" w:pos="9071"/>
        </w:tabs>
      </w:pPr>
      <w:hyperlink w:anchor="_Toc8616" w:history="1">
        <w:r>
          <w:rPr>
            <w:rFonts w:ascii="黑体" w:eastAsia="黑体" w:hAnsi="黑体" w:cs="黑体" w:hint="eastAsia"/>
            <w:kern w:val="0"/>
            <w:szCs w:val="28"/>
          </w:rPr>
          <w:t>3.3 商业模式阐述</w:t>
        </w:r>
        <w:r>
          <w:tab/>
        </w:r>
        <w:r>
          <w:fldChar w:fldCharType="begin"/>
        </w:r>
        <w:r>
          <w:instrText xml:space="preserve"> PAGEREF _Toc8616 \h </w:instrText>
        </w:r>
        <w:r>
          <w:fldChar w:fldCharType="separate"/>
        </w:r>
        <w:r>
          <w:t>8</w:t>
        </w:r>
        <w:r>
          <w:fldChar w:fldCharType="end"/>
        </w:r>
      </w:hyperlink>
    </w:p>
    <w:p w14:paraId="40C3F905" w14:textId="77777777" w:rsidR="006174B2" w:rsidRDefault="00000000">
      <w:pPr>
        <w:pStyle w:val="TOC2"/>
        <w:tabs>
          <w:tab w:val="right" w:leader="dot" w:pos="9071"/>
        </w:tabs>
      </w:pPr>
      <w:hyperlink w:anchor="_Toc3646" w:history="1">
        <w:r>
          <w:rPr>
            <w:rFonts w:ascii="黑体" w:eastAsia="黑体" w:hAnsi="黑体" w:cs="黑体" w:hint="eastAsia"/>
            <w:kern w:val="0"/>
            <w:szCs w:val="28"/>
          </w:rPr>
          <w:t>3.4 竞争策略</w:t>
        </w:r>
        <w:r>
          <w:tab/>
        </w:r>
        <w:r>
          <w:fldChar w:fldCharType="begin"/>
        </w:r>
        <w:r>
          <w:instrText xml:space="preserve"> PAGEREF _Toc3646 \h </w:instrText>
        </w:r>
        <w:r>
          <w:fldChar w:fldCharType="separate"/>
        </w:r>
        <w:r>
          <w:t>8</w:t>
        </w:r>
        <w:r>
          <w:fldChar w:fldCharType="end"/>
        </w:r>
      </w:hyperlink>
    </w:p>
    <w:p w14:paraId="3935007F" w14:textId="77777777" w:rsidR="006174B2" w:rsidRDefault="00000000">
      <w:pPr>
        <w:pStyle w:val="TOC1"/>
        <w:tabs>
          <w:tab w:val="right" w:leader="dot" w:pos="9071"/>
        </w:tabs>
      </w:pPr>
      <w:hyperlink w:anchor="_Toc14539" w:history="1">
        <w:r>
          <w:rPr>
            <w:rFonts w:ascii="黑体" w:eastAsia="黑体" w:hAnsi="黑体" w:cs="黑体" w:hint="eastAsia"/>
            <w:kern w:val="0"/>
            <w:szCs w:val="32"/>
          </w:rPr>
          <w:t>四、运营计划与营销策略</w:t>
        </w:r>
        <w:r>
          <w:tab/>
        </w:r>
        <w:r>
          <w:fldChar w:fldCharType="begin"/>
        </w:r>
        <w:r>
          <w:instrText xml:space="preserve"> PAGEREF _Toc14539 \h </w:instrText>
        </w:r>
        <w:r>
          <w:fldChar w:fldCharType="separate"/>
        </w:r>
        <w:r>
          <w:t>8</w:t>
        </w:r>
        <w:r>
          <w:fldChar w:fldCharType="end"/>
        </w:r>
      </w:hyperlink>
    </w:p>
    <w:p w14:paraId="4160E426" w14:textId="77777777" w:rsidR="006174B2" w:rsidRDefault="00000000">
      <w:pPr>
        <w:pStyle w:val="TOC2"/>
        <w:tabs>
          <w:tab w:val="right" w:leader="dot" w:pos="9071"/>
        </w:tabs>
      </w:pPr>
      <w:hyperlink w:anchor="_Toc23011" w:history="1">
        <w:r>
          <w:rPr>
            <w:rFonts w:ascii="黑体" w:eastAsia="黑体" w:hAnsi="黑体" w:cs="黑体" w:hint="eastAsia"/>
            <w:kern w:val="0"/>
            <w:szCs w:val="28"/>
          </w:rPr>
          <w:t>4.1 运营计划</w:t>
        </w:r>
        <w:r>
          <w:tab/>
        </w:r>
        <w:r>
          <w:fldChar w:fldCharType="begin"/>
        </w:r>
        <w:r>
          <w:instrText xml:space="preserve"> PAGEREF _Toc23011 \h </w:instrText>
        </w:r>
        <w:r>
          <w:fldChar w:fldCharType="separate"/>
        </w:r>
        <w:r>
          <w:t>8</w:t>
        </w:r>
        <w:r>
          <w:fldChar w:fldCharType="end"/>
        </w:r>
      </w:hyperlink>
    </w:p>
    <w:p w14:paraId="3D1D61BE" w14:textId="77777777" w:rsidR="006174B2" w:rsidRDefault="00000000">
      <w:pPr>
        <w:pStyle w:val="TOC2"/>
        <w:tabs>
          <w:tab w:val="right" w:leader="dot" w:pos="9071"/>
        </w:tabs>
      </w:pPr>
      <w:hyperlink w:anchor="_Toc32594" w:history="1">
        <w:r>
          <w:rPr>
            <w:rFonts w:ascii="黑体" w:eastAsia="黑体" w:hAnsi="黑体" w:cs="黑体" w:hint="eastAsia"/>
            <w:bCs/>
            <w:kern w:val="0"/>
            <w:szCs w:val="28"/>
          </w:rPr>
          <w:t>4.2营销策略</w:t>
        </w:r>
        <w:r>
          <w:tab/>
        </w:r>
        <w:r>
          <w:fldChar w:fldCharType="begin"/>
        </w:r>
        <w:r>
          <w:instrText xml:space="preserve"> PAGEREF _Toc32594 \h </w:instrText>
        </w:r>
        <w:r>
          <w:fldChar w:fldCharType="separate"/>
        </w:r>
        <w:r>
          <w:t>9</w:t>
        </w:r>
        <w:r>
          <w:fldChar w:fldCharType="end"/>
        </w:r>
      </w:hyperlink>
    </w:p>
    <w:p w14:paraId="2B3B8AFE" w14:textId="77777777" w:rsidR="006174B2" w:rsidRDefault="00000000">
      <w:pPr>
        <w:pStyle w:val="TOC2"/>
        <w:tabs>
          <w:tab w:val="right" w:leader="dot" w:pos="9071"/>
        </w:tabs>
      </w:pPr>
      <w:hyperlink w:anchor="_Toc29715" w:history="1">
        <w:r>
          <w:rPr>
            <w:rFonts w:ascii="黑体" w:eastAsia="黑体" w:hAnsi="黑体" w:cs="黑体" w:hint="eastAsia"/>
            <w:kern w:val="0"/>
            <w:szCs w:val="28"/>
          </w:rPr>
          <w:t>5.1 团队组成</w:t>
        </w:r>
        <w:r>
          <w:tab/>
        </w:r>
        <w:r>
          <w:fldChar w:fldCharType="begin"/>
        </w:r>
        <w:r>
          <w:instrText xml:space="preserve"> PAGEREF _Toc29715 \h </w:instrText>
        </w:r>
        <w:r>
          <w:fldChar w:fldCharType="separate"/>
        </w:r>
        <w:r>
          <w:t>12</w:t>
        </w:r>
        <w:r>
          <w:fldChar w:fldCharType="end"/>
        </w:r>
      </w:hyperlink>
    </w:p>
    <w:p w14:paraId="26500B5D" w14:textId="77777777" w:rsidR="006174B2" w:rsidRDefault="00000000">
      <w:pPr>
        <w:pStyle w:val="TOC2"/>
        <w:tabs>
          <w:tab w:val="right" w:leader="dot" w:pos="9071"/>
        </w:tabs>
      </w:pPr>
      <w:hyperlink w:anchor="_Toc10517" w:history="1">
        <w:r>
          <w:rPr>
            <w:rFonts w:ascii="黑体" w:eastAsia="黑体" w:hAnsi="黑体" w:cs="黑体" w:hint="eastAsia"/>
            <w:kern w:val="0"/>
            <w:szCs w:val="28"/>
          </w:rPr>
          <w:t>5.2 团队管理</w:t>
        </w:r>
        <w:r>
          <w:tab/>
        </w:r>
        <w:r>
          <w:fldChar w:fldCharType="begin"/>
        </w:r>
        <w:r>
          <w:instrText xml:space="preserve"> PAGEREF _Toc10517 \h </w:instrText>
        </w:r>
        <w:r>
          <w:fldChar w:fldCharType="separate"/>
        </w:r>
        <w:r>
          <w:t>13</w:t>
        </w:r>
        <w:r>
          <w:fldChar w:fldCharType="end"/>
        </w:r>
      </w:hyperlink>
    </w:p>
    <w:p w14:paraId="67D0C780" w14:textId="77777777" w:rsidR="006174B2" w:rsidRDefault="00000000">
      <w:pPr>
        <w:pStyle w:val="TOC1"/>
        <w:tabs>
          <w:tab w:val="right" w:leader="dot" w:pos="9071"/>
        </w:tabs>
      </w:pPr>
      <w:hyperlink w:anchor="_Toc18667" w:history="1">
        <w:r>
          <w:rPr>
            <w:rFonts w:ascii="黑体" w:eastAsia="黑体" w:hAnsi="黑体" w:cs="黑体" w:hint="eastAsia"/>
            <w:kern w:val="0"/>
            <w:szCs w:val="32"/>
          </w:rPr>
          <w:t>六、财务预测与投资回报</w:t>
        </w:r>
        <w:r>
          <w:tab/>
        </w:r>
        <w:r>
          <w:fldChar w:fldCharType="begin"/>
        </w:r>
        <w:r>
          <w:instrText xml:space="preserve"> PAGEREF _Toc18667 \h </w:instrText>
        </w:r>
        <w:r>
          <w:fldChar w:fldCharType="separate"/>
        </w:r>
        <w:r>
          <w:t>14</w:t>
        </w:r>
        <w:r>
          <w:fldChar w:fldCharType="end"/>
        </w:r>
      </w:hyperlink>
    </w:p>
    <w:p w14:paraId="4F8255BC" w14:textId="77777777" w:rsidR="006174B2" w:rsidRDefault="00000000">
      <w:pPr>
        <w:pStyle w:val="TOC2"/>
        <w:tabs>
          <w:tab w:val="right" w:leader="dot" w:pos="9071"/>
        </w:tabs>
      </w:pPr>
      <w:hyperlink w:anchor="_Toc707" w:history="1">
        <w:r>
          <w:rPr>
            <w:rFonts w:ascii="黑体" w:eastAsia="黑体" w:hAnsi="黑体" w:cs="黑体" w:hint="eastAsia"/>
            <w:kern w:val="0"/>
            <w:szCs w:val="28"/>
          </w:rPr>
          <w:t>6.1 财务预测</w:t>
        </w:r>
        <w:r>
          <w:tab/>
        </w:r>
        <w:r>
          <w:fldChar w:fldCharType="begin"/>
        </w:r>
        <w:r>
          <w:instrText xml:space="preserve"> PAGEREF _Toc707 \h </w:instrText>
        </w:r>
        <w:r>
          <w:fldChar w:fldCharType="separate"/>
        </w:r>
        <w:r>
          <w:t>14</w:t>
        </w:r>
        <w:r>
          <w:fldChar w:fldCharType="end"/>
        </w:r>
      </w:hyperlink>
    </w:p>
    <w:p w14:paraId="561FFE23" w14:textId="77777777" w:rsidR="006174B2" w:rsidRDefault="00000000">
      <w:pPr>
        <w:pStyle w:val="TOC2"/>
        <w:tabs>
          <w:tab w:val="right" w:leader="dot" w:pos="9071"/>
        </w:tabs>
      </w:pPr>
      <w:hyperlink w:anchor="_Toc18271" w:history="1">
        <w:r>
          <w:rPr>
            <w:rFonts w:ascii="黑体" w:eastAsia="黑体" w:hAnsi="黑体" w:cs="黑体" w:hint="eastAsia"/>
            <w:kern w:val="0"/>
            <w:szCs w:val="28"/>
          </w:rPr>
          <w:t>6.2 投资回报</w:t>
        </w:r>
        <w:r>
          <w:tab/>
        </w:r>
        <w:r>
          <w:fldChar w:fldCharType="begin"/>
        </w:r>
        <w:r>
          <w:instrText xml:space="preserve"> PAGEREF _Toc18271 \h </w:instrText>
        </w:r>
        <w:r>
          <w:fldChar w:fldCharType="separate"/>
        </w:r>
        <w:r>
          <w:t>15</w:t>
        </w:r>
        <w:r>
          <w:fldChar w:fldCharType="end"/>
        </w:r>
      </w:hyperlink>
    </w:p>
    <w:p w14:paraId="246573B0" w14:textId="77777777" w:rsidR="006174B2" w:rsidRDefault="00000000">
      <w:pPr>
        <w:pStyle w:val="TOC1"/>
        <w:tabs>
          <w:tab w:val="right" w:leader="dot" w:pos="9071"/>
        </w:tabs>
      </w:pPr>
      <w:hyperlink w:anchor="_Toc10387" w:history="1">
        <w:r>
          <w:rPr>
            <w:rFonts w:ascii="黑体" w:eastAsia="黑体" w:hAnsi="黑体" w:cs="黑体" w:hint="eastAsia"/>
            <w:kern w:val="0"/>
            <w:szCs w:val="32"/>
          </w:rPr>
          <w:t>七、风险评估与应对措施</w:t>
        </w:r>
        <w:r>
          <w:tab/>
        </w:r>
        <w:r>
          <w:fldChar w:fldCharType="begin"/>
        </w:r>
        <w:r>
          <w:instrText xml:space="preserve"> PAGEREF _Toc10387 \h </w:instrText>
        </w:r>
        <w:r>
          <w:fldChar w:fldCharType="separate"/>
        </w:r>
        <w:r>
          <w:t>16</w:t>
        </w:r>
        <w:r>
          <w:fldChar w:fldCharType="end"/>
        </w:r>
      </w:hyperlink>
    </w:p>
    <w:p w14:paraId="6313DAC9" w14:textId="77777777" w:rsidR="006174B2" w:rsidRDefault="00000000">
      <w:pPr>
        <w:pStyle w:val="TOC2"/>
        <w:tabs>
          <w:tab w:val="right" w:leader="dot" w:pos="9071"/>
        </w:tabs>
      </w:pPr>
      <w:hyperlink w:anchor="_Toc10126" w:history="1">
        <w:r>
          <w:rPr>
            <w:rFonts w:ascii="黑体" w:eastAsia="黑体" w:hAnsi="黑体" w:cs="黑体" w:hint="eastAsia"/>
            <w:kern w:val="0"/>
            <w:szCs w:val="28"/>
          </w:rPr>
          <w:t>7.1 风险评估</w:t>
        </w:r>
        <w:r>
          <w:tab/>
        </w:r>
        <w:r>
          <w:fldChar w:fldCharType="begin"/>
        </w:r>
        <w:r>
          <w:instrText xml:space="preserve"> PAGEREF _Toc10126 \h </w:instrText>
        </w:r>
        <w:r>
          <w:fldChar w:fldCharType="separate"/>
        </w:r>
        <w:r>
          <w:t>16</w:t>
        </w:r>
        <w:r>
          <w:fldChar w:fldCharType="end"/>
        </w:r>
      </w:hyperlink>
    </w:p>
    <w:p w14:paraId="0BBD4589" w14:textId="77777777" w:rsidR="006174B2" w:rsidRDefault="00000000">
      <w:pPr>
        <w:pStyle w:val="TOC2"/>
        <w:tabs>
          <w:tab w:val="right" w:leader="dot" w:pos="9071"/>
        </w:tabs>
      </w:pPr>
      <w:hyperlink w:anchor="_Toc29640" w:history="1">
        <w:r>
          <w:rPr>
            <w:rFonts w:ascii="黑体" w:eastAsia="黑体" w:hAnsi="黑体" w:cs="黑体" w:hint="eastAsia"/>
            <w:kern w:val="0"/>
            <w:szCs w:val="28"/>
          </w:rPr>
          <w:t>7.2 应对措施</w:t>
        </w:r>
        <w:r>
          <w:tab/>
        </w:r>
        <w:r>
          <w:fldChar w:fldCharType="begin"/>
        </w:r>
        <w:r>
          <w:instrText xml:space="preserve"> PAGEREF _Toc29640 \h </w:instrText>
        </w:r>
        <w:r>
          <w:fldChar w:fldCharType="separate"/>
        </w:r>
        <w:r>
          <w:t>17</w:t>
        </w:r>
        <w:r>
          <w:fldChar w:fldCharType="end"/>
        </w:r>
      </w:hyperlink>
    </w:p>
    <w:p w14:paraId="77215D8D" w14:textId="77777777" w:rsidR="006174B2" w:rsidRDefault="00000000">
      <w:pPr>
        <w:pStyle w:val="TOC1"/>
        <w:tabs>
          <w:tab w:val="right" w:leader="dot" w:pos="9071"/>
        </w:tabs>
      </w:pPr>
      <w:hyperlink w:anchor="_Toc24779" w:history="1">
        <w:r>
          <w:rPr>
            <w:rFonts w:ascii="黑体" w:eastAsia="黑体" w:hAnsi="黑体" w:cs="黑体" w:hint="eastAsia"/>
            <w:kern w:val="0"/>
            <w:szCs w:val="32"/>
          </w:rPr>
          <w:t>八、发展规划与里程碑</w:t>
        </w:r>
        <w:r>
          <w:tab/>
        </w:r>
        <w:r>
          <w:fldChar w:fldCharType="begin"/>
        </w:r>
        <w:r>
          <w:instrText xml:space="preserve"> PAGEREF _Toc24779 \h </w:instrText>
        </w:r>
        <w:r>
          <w:fldChar w:fldCharType="separate"/>
        </w:r>
        <w:r>
          <w:t>18</w:t>
        </w:r>
        <w:r>
          <w:fldChar w:fldCharType="end"/>
        </w:r>
      </w:hyperlink>
    </w:p>
    <w:p w14:paraId="560EE0AF" w14:textId="77777777" w:rsidR="006174B2" w:rsidRDefault="00000000">
      <w:pPr>
        <w:pStyle w:val="TOC2"/>
        <w:tabs>
          <w:tab w:val="right" w:leader="dot" w:pos="9071"/>
        </w:tabs>
      </w:pPr>
      <w:hyperlink w:anchor="_Toc23832" w:history="1">
        <w:r>
          <w:rPr>
            <w:rFonts w:ascii="黑体" w:eastAsia="黑体" w:hAnsi="黑体" w:cs="黑体" w:hint="eastAsia"/>
            <w:kern w:val="0"/>
            <w:szCs w:val="28"/>
          </w:rPr>
          <w:t>8.1 发展规划</w:t>
        </w:r>
        <w:r>
          <w:tab/>
        </w:r>
        <w:r>
          <w:fldChar w:fldCharType="begin"/>
        </w:r>
        <w:r>
          <w:instrText xml:space="preserve"> PAGEREF _Toc23832 \h </w:instrText>
        </w:r>
        <w:r>
          <w:fldChar w:fldCharType="separate"/>
        </w:r>
        <w:r>
          <w:t>18</w:t>
        </w:r>
        <w:r>
          <w:fldChar w:fldCharType="end"/>
        </w:r>
      </w:hyperlink>
    </w:p>
    <w:p w14:paraId="13CE7A29" w14:textId="77777777" w:rsidR="006174B2" w:rsidRDefault="00000000">
      <w:pPr>
        <w:pStyle w:val="TOC2"/>
        <w:tabs>
          <w:tab w:val="right" w:leader="dot" w:pos="9071"/>
        </w:tabs>
      </w:pPr>
      <w:hyperlink w:anchor="_Toc13537" w:history="1">
        <w:r>
          <w:rPr>
            <w:rFonts w:ascii="黑体" w:eastAsia="黑体" w:hAnsi="黑体" w:cs="黑体" w:hint="eastAsia"/>
            <w:kern w:val="0"/>
            <w:szCs w:val="28"/>
          </w:rPr>
          <w:t>8.2 里程碑</w:t>
        </w:r>
        <w:r>
          <w:tab/>
        </w:r>
        <w:r>
          <w:fldChar w:fldCharType="begin"/>
        </w:r>
        <w:r>
          <w:instrText xml:space="preserve"> PAGEREF _Toc13537 \h </w:instrText>
        </w:r>
        <w:r>
          <w:fldChar w:fldCharType="separate"/>
        </w:r>
        <w:r>
          <w:t>19</w:t>
        </w:r>
        <w:r>
          <w:fldChar w:fldCharType="end"/>
        </w:r>
      </w:hyperlink>
    </w:p>
    <w:p w14:paraId="73312F8A" w14:textId="77777777" w:rsidR="006174B2" w:rsidRDefault="00000000">
      <w:pPr>
        <w:pStyle w:val="TOC1"/>
        <w:tabs>
          <w:tab w:val="right" w:leader="dot" w:pos="9071"/>
        </w:tabs>
      </w:pPr>
      <w:hyperlink w:anchor="_Toc17260" w:history="1">
        <w:r>
          <w:rPr>
            <w:rFonts w:ascii="黑体" w:eastAsia="黑体" w:hAnsi="黑体" w:cs="黑体" w:hint="eastAsia"/>
            <w:kern w:val="0"/>
            <w:szCs w:val="32"/>
          </w:rPr>
          <w:t>九、总结与展望</w:t>
        </w:r>
        <w:r>
          <w:tab/>
        </w:r>
        <w:r>
          <w:fldChar w:fldCharType="begin"/>
        </w:r>
        <w:r>
          <w:instrText xml:space="preserve"> PAGEREF _Toc17260 \h </w:instrText>
        </w:r>
        <w:r>
          <w:fldChar w:fldCharType="separate"/>
        </w:r>
        <w:r>
          <w:t>20</w:t>
        </w:r>
        <w:r>
          <w:fldChar w:fldCharType="end"/>
        </w:r>
      </w:hyperlink>
    </w:p>
    <w:p w14:paraId="40F9A743" w14:textId="77777777" w:rsidR="006174B2" w:rsidRDefault="00000000">
      <w:pPr>
        <w:widowControl/>
        <w:shd w:val="clear" w:color="auto" w:fill="FDFDFE"/>
        <w:ind w:firstLine="482"/>
        <w:jc w:val="left"/>
        <w:rPr>
          <w:rFonts w:ascii="黑体" w:eastAsia="黑体" w:hAnsi="黑体" w:cs="黑体"/>
          <w:kern w:val="0"/>
          <w:sz w:val="32"/>
          <w:szCs w:val="32"/>
        </w:rPr>
        <w:sectPr w:rsidR="006174B2" w:rsidSect="00574385">
          <w:footerReference w:type="default" r:id="rId8"/>
          <w:pgSz w:w="11906" w:h="16838"/>
          <w:pgMar w:top="1417" w:right="1134" w:bottom="1417" w:left="1701" w:header="851" w:footer="992" w:gutter="0"/>
          <w:cols w:space="425"/>
          <w:docGrid w:type="lines" w:linePitch="312"/>
        </w:sectPr>
      </w:pPr>
      <w:r>
        <w:rPr>
          <w:rFonts w:ascii="宋体" w:eastAsia="宋体" w:hAnsi="宋体" w:cs="Segoe UI" w:hint="eastAsia"/>
          <w:bCs/>
          <w:kern w:val="0"/>
          <w:szCs w:val="23"/>
        </w:rPr>
        <w:fldChar w:fldCharType="end"/>
      </w:r>
    </w:p>
    <w:p w14:paraId="44927EFF" w14:textId="77777777" w:rsidR="006174B2" w:rsidRDefault="00000000">
      <w:pPr>
        <w:widowControl/>
        <w:shd w:val="clear" w:color="auto" w:fill="FDFDFE"/>
        <w:spacing w:beforeLines="50" w:before="156" w:afterLines="50" w:after="156"/>
        <w:ind w:firstLine="656"/>
        <w:jc w:val="center"/>
        <w:outlineLvl w:val="0"/>
        <w:rPr>
          <w:rFonts w:ascii="黑体" w:eastAsia="黑体" w:hAnsi="黑体" w:cs="黑体"/>
          <w:kern w:val="0"/>
          <w:sz w:val="32"/>
          <w:szCs w:val="32"/>
        </w:rPr>
      </w:pPr>
      <w:bookmarkStart w:id="1" w:name="_Toc27977"/>
      <w:r>
        <w:rPr>
          <w:rFonts w:ascii="黑体" w:eastAsia="黑体" w:hAnsi="黑体" w:cs="黑体" w:hint="eastAsia"/>
          <w:kern w:val="0"/>
          <w:sz w:val="32"/>
          <w:szCs w:val="32"/>
        </w:rPr>
        <w:lastRenderedPageBreak/>
        <w:t>一、创意主旨与背景分析</w:t>
      </w:r>
      <w:bookmarkEnd w:id="1"/>
    </w:p>
    <w:p w14:paraId="431EC551" w14:textId="77777777" w:rsidR="006174B2" w:rsidRDefault="00000000">
      <w:pPr>
        <w:widowControl/>
        <w:shd w:val="clear" w:color="auto" w:fill="FDFDFE"/>
        <w:spacing w:beforeLines="50" w:before="156" w:afterLines="50" w:after="156"/>
        <w:jc w:val="left"/>
        <w:outlineLvl w:val="1"/>
        <w:rPr>
          <w:rFonts w:ascii="黑体" w:eastAsia="黑体" w:hAnsi="黑体" w:cs="黑体"/>
          <w:kern w:val="0"/>
          <w:sz w:val="23"/>
          <w:szCs w:val="23"/>
        </w:rPr>
      </w:pPr>
      <w:bookmarkStart w:id="2" w:name="_Toc20945"/>
      <w:r>
        <w:rPr>
          <w:rFonts w:ascii="黑体" w:eastAsia="黑体" w:hAnsi="黑体" w:cs="黑体" w:hint="eastAsia"/>
          <w:kern w:val="0"/>
          <w:sz w:val="28"/>
          <w:szCs w:val="28"/>
        </w:rPr>
        <w:t>1.1 创意主旨阐述</w:t>
      </w:r>
      <w:bookmarkEnd w:id="2"/>
    </w:p>
    <w:p w14:paraId="0E84959C" w14:textId="77777777" w:rsidR="006174B2" w:rsidRDefault="00000000">
      <w:pPr>
        <w:widowControl/>
        <w:shd w:val="clear" w:color="auto" w:fill="FDFDFE"/>
        <w:spacing w:line="360" w:lineRule="auto"/>
        <w:ind w:firstLineChars="200" w:firstLine="480"/>
        <w:jc w:val="left"/>
        <w:rPr>
          <w:rFonts w:ascii="Segoe UI" w:eastAsia="宋体" w:hAnsi="Segoe UI" w:cs="Segoe UI"/>
          <w:kern w:val="0"/>
          <w:sz w:val="24"/>
          <w:szCs w:val="24"/>
        </w:rPr>
      </w:pPr>
      <w:r>
        <w:rPr>
          <w:rFonts w:ascii="宋体" w:eastAsia="宋体" w:hAnsi="宋体" w:cs="Segoe UI" w:hint="eastAsia"/>
          <w:kern w:val="0"/>
          <w:sz w:val="24"/>
          <w:szCs w:val="24"/>
        </w:rPr>
        <w:t>我们的创意主旨是通过移动充电机器人和大型应急移动储能设备，解决电动汽车充电难的问题，推动绿色出行的发展，同时提供应急电力解决方案，增强城市韧性。我们致力于打造一个智能化、便捷、高效的充电服务体系，为用户提供即</w:t>
      </w:r>
      <w:proofErr w:type="gramStart"/>
      <w:r>
        <w:rPr>
          <w:rFonts w:ascii="宋体" w:eastAsia="宋体" w:hAnsi="宋体" w:cs="Segoe UI" w:hint="eastAsia"/>
          <w:kern w:val="0"/>
          <w:sz w:val="24"/>
          <w:szCs w:val="24"/>
        </w:rPr>
        <w:t>需即充</w:t>
      </w:r>
      <w:proofErr w:type="gramEnd"/>
      <w:r>
        <w:rPr>
          <w:rFonts w:ascii="宋体" w:eastAsia="宋体" w:hAnsi="宋体" w:cs="Segoe UI" w:hint="eastAsia"/>
          <w:kern w:val="0"/>
          <w:sz w:val="24"/>
          <w:szCs w:val="24"/>
        </w:rPr>
        <w:t>的极致体验。</w:t>
      </w:r>
    </w:p>
    <w:p w14:paraId="0F6C4BB4" w14:textId="77777777" w:rsidR="006174B2" w:rsidRDefault="00000000">
      <w:pPr>
        <w:pStyle w:val="aa"/>
        <w:widowControl/>
        <w:numPr>
          <w:ilvl w:val="1"/>
          <w:numId w:val="0"/>
        </w:numPr>
        <w:shd w:val="clear" w:color="auto" w:fill="FDFDFE"/>
        <w:spacing w:beforeLines="50" w:before="156" w:afterLines="50" w:after="156"/>
        <w:ind w:left="360" w:hanging="360"/>
        <w:jc w:val="left"/>
        <w:outlineLvl w:val="1"/>
        <w:rPr>
          <w:rFonts w:ascii="黑体" w:eastAsia="黑体" w:hAnsi="黑体" w:cs="黑体"/>
          <w:bCs/>
          <w:kern w:val="0"/>
          <w:sz w:val="28"/>
          <w:szCs w:val="28"/>
        </w:rPr>
      </w:pPr>
      <w:bookmarkStart w:id="3" w:name="_Toc2476"/>
      <w:r>
        <w:rPr>
          <w:rFonts w:ascii="黑体" w:eastAsia="黑体" w:hAnsi="黑体" w:cs="黑体" w:hint="eastAsia"/>
          <w:kern w:val="0"/>
          <w:sz w:val="28"/>
          <w:szCs w:val="28"/>
        </w:rPr>
        <w:t xml:space="preserve">1.2 </w:t>
      </w:r>
      <w:r>
        <w:rPr>
          <w:rFonts w:ascii="黑体" w:eastAsia="黑体" w:hAnsi="黑体" w:cs="黑体" w:hint="eastAsia"/>
          <w:bCs/>
          <w:kern w:val="0"/>
          <w:sz w:val="28"/>
          <w:szCs w:val="28"/>
        </w:rPr>
        <w:t>创意背景</w:t>
      </w:r>
      <w:bookmarkEnd w:id="3"/>
    </w:p>
    <w:p w14:paraId="48A0FD8D" w14:textId="77777777" w:rsidR="006174B2" w:rsidRDefault="00000000">
      <w:pPr>
        <w:widowControl/>
        <w:spacing w:beforeLines="50" w:before="156" w:afterLines="50" w:after="156"/>
        <w:jc w:val="left"/>
        <w:outlineLvl w:val="2"/>
        <w:rPr>
          <w:rFonts w:ascii="黑体" w:eastAsia="黑体" w:hAnsi="黑体" w:cs="黑体"/>
          <w:kern w:val="0"/>
          <w:sz w:val="24"/>
          <w:szCs w:val="24"/>
        </w:rPr>
      </w:pPr>
      <w:r>
        <w:rPr>
          <w:rFonts w:ascii="黑体" w:eastAsia="黑体" w:hAnsi="黑体" w:cs="黑体" w:hint="eastAsia"/>
          <w:kern w:val="0"/>
          <w:sz w:val="24"/>
          <w:szCs w:val="24"/>
        </w:rPr>
        <w:t>1.极端气候下恢复供电间隔期长，受灾区域短期内供电困难</w:t>
      </w:r>
    </w:p>
    <w:p w14:paraId="632BD6CC" w14:textId="77777777" w:rsidR="006174B2" w:rsidRDefault="00000000">
      <w:pPr>
        <w:spacing w:beforeAutospacing="1" w:line="360" w:lineRule="auto"/>
        <w:ind w:firstLine="420"/>
        <w:rPr>
          <w:rFonts w:ascii="Times New Roman" w:eastAsia="宋体" w:hAnsi="Times New Roman" w:cs="宋体"/>
          <w:sz w:val="24"/>
          <w:szCs w:val="24"/>
          <w:shd w:val="clear" w:color="auto" w:fill="FFFFFF"/>
        </w:rPr>
      </w:pPr>
      <w:r>
        <w:rPr>
          <w:rFonts w:ascii="Times New Roman" w:eastAsia="宋体" w:hAnsi="Times New Roman" w:cs="宋体" w:hint="eastAsia"/>
          <w:sz w:val="24"/>
          <w:szCs w:val="24"/>
        </w:rPr>
        <w:t>近年来，我国极端天气频发，电力系统屡受冲击。</w:t>
      </w:r>
      <w:r>
        <w:rPr>
          <w:rFonts w:ascii="Times New Roman" w:eastAsia="宋体" w:hAnsi="Times New Roman" w:cs="宋体" w:hint="eastAsia"/>
          <w:sz w:val="24"/>
          <w:szCs w:val="24"/>
          <w:shd w:val="clear" w:color="auto" w:fill="FFFFFF"/>
          <w:lang w:bidi="ar"/>
        </w:rPr>
        <w:t>根据中央气象台和国家气象信息中心国家级气象观测</w:t>
      </w:r>
      <w:proofErr w:type="gramStart"/>
      <w:r>
        <w:rPr>
          <w:rFonts w:ascii="Times New Roman" w:eastAsia="宋体" w:hAnsi="Times New Roman" w:cs="宋体" w:hint="eastAsia"/>
          <w:sz w:val="24"/>
          <w:szCs w:val="24"/>
          <w:shd w:val="clear" w:color="auto" w:fill="FFFFFF"/>
          <w:lang w:bidi="ar"/>
        </w:rPr>
        <w:t>站数据</w:t>
      </w:r>
      <w:proofErr w:type="gramEnd"/>
      <w:r>
        <w:rPr>
          <w:rFonts w:ascii="Times New Roman" w:eastAsia="宋体" w:hAnsi="Times New Roman" w:cs="宋体" w:hint="eastAsia"/>
          <w:sz w:val="24"/>
          <w:szCs w:val="24"/>
          <w:shd w:val="clear" w:color="auto" w:fill="FFFFFF"/>
          <w:lang w:bidi="ar"/>
        </w:rPr>
        <w:t>统计，</w:t>
      </w:r>
      <w:r>
        <w:rPr>
          <w:rFonts w:ascii="Times New Roman" w:eastAsia="宋体" w:hAnsi="Times New Roman" w:cs="宋体" w:hint="eastAsia"/>
          <w:sz w:val="24"/>
          <w:szCs w:val="24"/>
          <w:shd w:val="clear" w:color="auto" w:fill="FFFFFF"/>
          <w:lang w:bidi="ar"/>
        </w:rPr>
        <w:t>2012</w:t>
      </w:r>
      <w:r>
        <w:rPr>
          <w:rFonts w:ascii="Times New Roman" w:eastAsia="宋体" w:hAnsi="Times New Roman" w:cs="宋体" w:hint="eastAsia"/>
          <w:sz w:val="24"/>
          <w:szCs w:val="24"/>
          <w:shd w:val="clear" w:color="auto" w:fill="FFFFFF"/>
          <w:lang w:bidi="ar"/>
        </w:rPr>
        <w:t>年到</w:t>
      </w:r>
      <w:r>
        <w:rPr>
          <w:rFonts w:ascii="Times New Roman" w:eastAsia="宋体" w:hAnsi="Times New Roman" w:cs="宋体" w:hint="eastAsia"/>
          <w:sz w:val="24"/>
          <w:szCs w:val="24"/>
          <w:shd w:val="clear" w:color="auto" w:fill="FFFFFF"/>
          <w:lang w:bidi="ar"/>
        </w:rPr>
        <w:t>2023</w:t>
      </w:r>
      <w:r>
        <w:rPr>
          <w:rFonts w:ascii="Times New Roman" w:eastAsia="宋体" w:hAnsi="Times New Roman" w:cs="宋体" w:hint="eastAsia"/>
          <w:sz w:val="24"/>
          <w:szCs w:val="24"/>
          <w:shd w:val="clear" w:color="auto" w:fill="FFFFFF"/>
          <w:lang w:bidi="ar"/>
        </w:rPr>
        <w:t>年（截至</w:t>
      </w:r>
      <w:r>
        <w:rPr>
          <w:rFonts w:ascii="Times New Roman" w:eastAsia="宋体" w:hAnsi="Times New Roman" w:cs="宋体" w:hint="eastAsia"/>
          <w:sz w:val="24"/>
          <w:szCs w:val="24"/>
          <w:shd w:val="clear" w:color="auto" w:fill="FFFFFF"/>
          <w:lang w:bidi="ar"/>
        </w:rPr>
        <w:t>9</w:t>
      </w:r>
      <w:r>
        <w:rPr>
          <w:rFonts w:ascii="Times New Roman" w:eastAsia="宋体" w:hAnsi="Times New Roman" w:cs="宋体" w:hint="eastAsia"/>
          <w:sz w:val="24"/>
          <w:szCs w:val="24"/>
          <w:shd w:val="clear" w:color="auto" w:fill="FFFFFF"/>
          <w:lang w:bidi="ar"/>
        </w:rPr>
        <w:t>月</w:t>
      </w:r>
      <w:r>
        <w:rPr>
          <w:rFonts w:ascii="Times New Roman" w:eastAsia="宋体" w:hAnsi="Times New Roman" w:cs="宋体" w:hint="eastAsia"/>
          <w:sz w:val="24"/>
          <w:szCs w:val="24"/>
          <w:shd w:val="clear" w:color="auto" w:fill="FFFFFF"/>
          <w:lang w:bidi="ar"/>
        </w:rPr>
        <w:t>15</w:t>
      </w:r>
      <w:r>
        <w:rPr>
          <w:rFonts w:ascii="Times New Roman" w:eastAsia="宋体" w:hAnsi="Times New Roman" w:cs="宋体" w:hint="eastAsia"/>
          <w:sz w:val="24"/>
          <w:szCs w:val="24"/>
          <w:shd w:val="clear" w:color="auto" w:fill="FFFFFF"/>
          <w:lang w:bidi="ar"/>
        </w:rPr>
        <w:t>日），我国共发生暴雨天气过程</w:t>
      </w:r>
      <w:r>
        <w:rPr>
          <w:rFonts w:ascii="Times New Roman" w:eastAsia="宋体" w:hAnsi="Times New Roman" w:cs="宋体" w:hint="eastAsia"/>
          <w:sz w:val="24"/>
          <w:szCs w:val="24"/>
          <w:shd w:val="clear" w:color="auto" w:fill="FFFFFF"/>
          <w:lang w:bidi="ar"/>
        </w:rPr>
        <w:t>503</w:t>
      </w:r>
      <w:r>
        <w:rPr>
          <w:rFonts w:ascii="Times New Roman" w:eastAsia="宋体" w:hAnsi="Times New Roman" w:cs="宋体" w:hint="eastAsia"/>
          <w:sz w:val="24"/>
          <w:szCs w:val="24"/>
          <w:shd w:val="clear" w:color="auto" w:fill="FFFFFF"/>
          <w:lang w:bidi="ar"/>
        </w:rPr>
        <w:t>次，暴雨发生次数从东南向西北逐渐减少，华南地区是发生暴雨天气最频繁的地区。例如</w:t>
      </w:r>
      <w:r>
        <w:rPr>
          <w:rFonts w:ascii="Times New Roman" w:eastAsia="宋体" w:hAnsi="Times New Roman" w:cs="宋体" w:hint="eastAsia"/>
          <w:sz w:val="24"/>
          <w:szCs w:val="24"/>
          <w:shd w:val="clear" w:color="auto" w:fill="FFFFFF"/>
          <w:lang w:bidi="ar"/>
        </w:rPr>
        <w:t>2023</w:t>
      </w:r>
      <w:r>
        <w:rPr>
          <w:rFonts w:ascii="Times New Roman" w:eastAsia="宋体" w:hAnsi="Times New Roman" w:cs="宋体" w:hint="eastAsia"/>
          <w:sz w:val="24"/>
          <w:szCs w:val="24"/>
          <w:shd w:val="clear" w:color="auto" w:fill="FFFFFF"/>
          <w:lang w:bidi="ar"/>
        </w:rPr>
        <w:t>年于福建晋江登陆的台风“杜苏芮”，</w:t>
      </w:r>
      <w:r>
        <w:rPr>
          <w:rFonts w:ascii="Times New Roman" w:eastAsia="宋体" w:hAnsi="Times New Roman" w:cs="宋体" w:hint="eastAsia"/>
          <w:sz w:val="24"/>
          <w:szCs w:val="24"/>
          <w:shd w:val="clear" w:color="auto" w:fill="FFFFFF"/>
        </w:rPr>
        <w:t>造成福建、浙江、安徽、江西、广东等地</w:t>
      </w:r>
      <w:r>
        <w:rPr>
          <w:rFonts w:ascii="Times New Roman" w:eastAsia="宋体" w:hAnsi="Times New Roman" w:cs="宋体" w:hint="eastAsia"/>
          <w:sz w:val="24"/>
          <w:szCs w:val="24"/>
          <w:shd w:val="clear" w:color="auto" w:fill="FFFFFF"/>
        </w:rPr>
        <w:t>291</w:t>
      </w:r>
      <w:r>
        <w:rPr>
          <w:rFonts w:ascii="Times New Roman" w:eastAsia="宋体" w:hAnsi="Times New Roman" w:cs="宋体" w:hint="eastAsia"/>
          <w:sz w:val="24"/>
          <w:szCs w:val="24"/>
          <w:shd w:val="clear" w:color="auto" w:fill="FFFFFF"/>
        </w:rPr>
        <w:t>万人不同程度受灾，紧急避险和转移安置</w:t>
      </w:r>
      <w:r>
        <w:rPr>
          <w:rFonts w:ascii="Times New Roman" w:eastAsia="宋体" w:hAnsi="Times New Roman" w:cs="宋体" w:hint="eastAsia"/>
          <w:sz w:val="24"/>
          <w:szCs w:val="24"/>
          <w:shd w:val="clear" w:color="auto" w:fill="FFFFFF"/>
        </w:rPr>
        <w:t>76.8</w:t>
      </w:r>
      <w:r>
        <w:rPr>
          <w:rFonts w:ascii="Times New Roman" w:eastAsia="宋体" w:hAnsi="Times New Roman" w:cs="宋体" w:hint="eastAsia"/>
          <w:sz w:val="24"/>
          <w:szCs w:val="24"/>
          <w:shd w:val="clear" w:color="auto" w:fill="FFFFFF"/>
        </w:rPr>
        <w:t>万人，损坏房屋</w:t>
      </w:r>
      <w:r>
        <w:rPr>
          <w:rFonts w:ascii="Times New Roman" w:eastAsia="宋体" w:hAnsi="Times New Roman" w:cs="宋体" w:hint="eastAsia"/>
          <w:sz w:val="24"/>
          <w:szCs w:val="24"/>
          <w:shd w:val="clear" w:color="auto" w:fill="FFFFFF"/>
        </w:rPr>
        <w:t>1.5</w:t>
      </w:r>
      <w:r>
        <w:rPr>
          <w:rFonts w:ascii="Times New Roman" w:eastAsia="宋体" w:hAnsi="Times New Roman" w:cs="宋体" w:hint="eastAsia"/>
          <w:sz w:val="24"/>
          <w:szCs w:val="24"/>
          <w:shd w:val="clear" w:color="auto" w:fill="FFFFFF"/>
        </w:rPr>
        <w:t>万余间，直接经济损失</w:t>
      </w:r>
      <w:r>
        <w:rPr>
          <w:rFonts w:ascii="Times New Roman" w:eastAsia="宋体" w:hAnsi="Times New Roman" w:cs="宋体" w:hint="eastAsia"/>
          <w:sz w:val="24"/>
          <w:szCs w:val="24"/>
          <w:shd w:val="clear" w:color="auto" w:fill="FFFFFF"/>
        </w:rPr>
        <w:t>147.4</w:t>
      </w:r>
      <w:r>
        <w:rPr>
          <w:rFonts w:ascii="Times New Roman" w:eastAsia="宋体" w:hAnsi="Times New Roman" w:cs="宋体" w:hint="eastAsia"/>
          <w:sz w:val="24"/>
          <w:szCs w:val="24"/>
          <w:shd w:val="clear" w:color="auto" w:fill="FFFFFF"/>
        </w:rPr>
        <w:t>亿元。其中，断电用户</w:t>
      </w:r>
      <w:r>
        <w:rPr>
          <w:rFonts w:ascii="Times New Roman" w:eastAsia="宋体" w:hAnsi="Times New Roman" w:cs="宋体" w:hint="eastAsia"/>
          <w:sz w:val="24"/>
          <w:szCs w:val="24"/>
          <w:shd w:val="clear" w:color="auto" w:fill="FFFFFF"/>
        </w:rPr>
        <w:t>500658</w:t>
      </w:r>
      <w:r>
        <w:rPr>
          <w:rFonts w:ascii="Times New Roman" w:eastAsia="宋体" w:hAnsi="Times New Roman" w:cs="宋体" w:hint="eastAsia"/>
          <w:sz w:val="24"/>
          <w:szCs w:val="24"/>
          <w:shd w:val="clear" w:color="auto" w:fill="FFFFFF"/>
        </w:rPr>
        <w:t>户，停电户数最多的有南安</w:t>
      </w:r>
      <w:r>
        <w:rPr>
          <w:rFonts w:ascii="Times New Roman" w:eastAsia="宋体" w:hAnsi="Times New Roman" w:cs="宋体" w:hint="eastAsia"/>
          <w:sz w:val="24"/>
          <w:szCs w:val="24"/>
          <w:shd w:val="clear" w:color="auto" w:fill="FFFFFF"/>
        </w:rPr>
        <w:t>100912</w:t>
      </w:r>
      <w:r>
        <w:rPr>
          <w:rFonts w:ascii="Times New Roman" w:eastAsia="宋体" w:hAnsi="Times New Roman" w:cs="宋体" w:hint="eastAsia"/>
          <w:sz w:val="24"/>
          <w:szCs w:val="24"/>
          <w:shd w:val="clear" w:color="auto" w:fill="FFFFFF"/>
        </w:rPr>
        <w:t>户、晋江</w:t>
      </w:r>
      <w:r>
        <w:rPr>
          <w:rFonts w:ascii="Times New Roman" w:eastAsia="宋体" w:hAnsi="Times New Roman" w:cs="宋体" w:hint="eastAsia"/>
          <w:sz w:val="24"/>
          <w:szCs w:val="24"/>
          <w:shd w:val="clear" w:color="auto" w:fill="FFFFFF"/>
        </w:rPr>
        <w:t>63050</w:t>
      </w:r>
      <w:r>
        <w:rPr>
          <w:rFonts w:ascii="Times New Roman" w:eastAsia="宋体" w:hAnsi="Times New Roman" w:cs="宋体" w:hint="eastAsia"/>
          <w:sz w:val="24"/>
          <w:szCs w:val="24"/>
          <w:shd w:val="clear" w:color="auto" w:fill="FFFFFF"/>
        </w:rPr>
        <w:t>户、惠安</w:t>
      </w:r>
      <w:r>
        <w:rPr>
          <w:rFonts w:ascii="Times New Roman" w:eastAsia="宋体" w:hAnsi="Times New Roman" w:cs="宋体" w:hint="eastAsia"/>
          <w:sz w:val="24"/>
          <w:szCs w:val="24"/>
          <w:shd w:val="clear" w:color="auto" w:fill="FFFFFF"/>
        </w:rPr>
        <w:t>44414</w:t>
      </w:r>
      <w:r>
        <w:rPr>
          <w:rFonts w:ascii="Times New Roman" w:eastAsia="宋体" w:hAnsi="Times New Roman" w:cs="宋体" w:hint="eastAsia"/>
          <w:sz w:val="24"/>
          <w:szCs w:val="24"/>
          <w:shd w:val="clear" w:color="auto" w:fill="FFFFFF"/>
        </w:rPr>
        <w:t>户。</w:t>
      </w:r>
    </w:p>
    <w:p w14:paraId="23DC4261" w14:textId="77777777" w:rsidR="006174B2" w:rsidRDefault="00000000">
      <w:pPr>
        <w:spacing w:line="360" w:lineRule="auto"/>
        <w:ind w:firstLineChars="200" w:firstLine="480"/>
        <w:rPr>
          <w:rFonts w:ascii="Times New Roman" w:eastAsia="宋体" w:hAnsi="Times New Roman" w:cs="宋体"/>
          <w:sz w:val="24"/>
          <w:szCs w:val="24"/>
        </w:rPr>
      </w:pPr>
      <w:r>
        <w:rPr>
          <w:rFonts w:ascii="Times New Roman" w:eastAsia="宋体" w:hAnsi="Times New Roman" w:cs="宋体" w:hint="eastAsia"/>
          <w:sz w:val="24"/>
          <w:szCs w:val="24"/>
          <w:shd w:val="clear" w:color="auto" w:fill="FFFFFF"/>
        </w:rPr>
        <w:t>由此可见，在极端天气或自然灾害发生时，仅靠国家电力系统并不能很好地解决受灾地区的供电问题，这将对城市经济与居民生活产生巨大负面影响。</w:t>
      </w:r>
      <w:r>
        <w:rPr>
          <w:rFonts w:ascii="Times New Roman" w:eastAsia="宋体" w:hAnsi="Times New Roman" w:cs="宋体" w:hint="eastAsia"/>
          <w:sz w:val="24"/>
          <w:szCs w:val="24"/>
        </w:rPr>
        <w:t>为此，本公司将在国家电网的支持下提供移动送电服务。例如，本公司将通过特定的</w:t>
      </w:r>
      <w:r>
        <w:rPr>
          <w:rFonts w:ascii="Times New Roman" w:eastAsia="宋体" w:hAnsi="Times New Roman" w:cs="宋体" w:hint="eastAsia"/>
          <w:sz w:val="24"/>
          <w:szCs w:val="24"/>
        </w:rPr>
        <w:t>ai</w:t>
      </w:r>
      <w:r>
        <w:rPr>
          <w:rFonts w:ascii="Times New Roman" w:eastAsia="宋体" w:hAnsi="Times New Roman" w:cs="宋体" w:hint="eastAsia"/>
          <w:sz w:val="24"/>
          <w:szCs w:val="24"/>
        </w:rPr>
        <w:t>技术预测台风路径等灾害情况，运用算法预测用电需求与时间，作为自然灾害发生时的应急备用的电力资源，可以在遭遇极端天气期间派遣团队通过应急移动储能设备的部署来为受灾地区提供电力支持，快速供电，在最短时间内满足城市运行及居民生活的用电需求，助力灾中救援与灾后重建，从而最大程度上降低因电力供应不足而造成的经济损失与人员伤亡。</w:t>
      </w:r>
    </w:p>
    <w:p w14:paraId="53EB36CA" w14:textId="77777777" w:rsidR="006174B2" w:rsidRDefault="00000000">
      <w:pPr>
        <w:spacing w:beforeLines="50" w:before="156" w:afterLines="50" w:after="156"/>
        <w:outlineLvl w:val="2"/>
        <w:rPr>
          <w:rFonts w:ascii="黑体" w:eastAsia="黑体" w:hAnsi="黑体" w:cs="黑体"/>
          <w:kern w:val="0"/>
          <w:sz w:val="24"/>
          <w:szCs w:val="24"/>
        </w:rPr>
      </w:pPr>
      <w:r>
        <w:rPr>
          <w:rFonts w:ascii="黑体" w:eastAsia="黑体" w:hAnsi="黑体" w:cs="黑体" w:hint="eastAsia"/>
          <w:kern w:val="0"/>
          <w:sz w:val="24"/>
          <w:szCs w:val="24"/>
        </w:rPr>
        <w:t>2.重大节假日期间充电资源不足，造成出行不便</w:t>
      </w:r>
    </w:p>
    <w:p w14:paraId="01A1BC07" w14:textId="77777777" w:rsidR="006174B2"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汽车行业历经百余年荏苒，从福特的</w:t>
      </w:r>
      <w:r>
        <w:rPr>
          <w:rFonts w:ascii="Times New Roman" w:eastAsia="宋体" w:hAnsi="Times New Roman" w:hint="eastAsia"/>
          <w:sz w:val="24"/>
          <w:szCs w:val="24"/>
        </w:rPr>
        <w:t>T</w:t>
      </w:r>
      <w:r>
        <w:rPr>
          <w:rFonts w:ascii="Times New Roman" w:eastAsia="宋体" w:hAnsi="Times New Roman" w:hint="eastAsia"/>
          <w:sz w:val="24"/>
          <w:szCs w:val="24"/>
        </w:rPr>
        <w:t>型车到如今的新能源汽车，新能源</w:t>
      </w:r>
      <w:proofErr w:type="gramStart"/>
      <w:r>
        <w:rPr>
          <w:rFonts w:ascii="Times New Roman" w:eastAsia="宋体" w:hAnsi="Times New Roman" w:hint="eastAsia"/>
          <w:sz w:val="24"/>
          <w:szCs w:val="24"/>
        </w:rPr>
        <w:t>汽行业</w:t>
      </w:r>
      <w:proofErr w:type="gramEnd"/>
      <w:r>
        <w:rPr>
          <w:rFonts w:ascii="Times New Roman" w:eastAsia="宋体" w:hAnsi="Times New Roman" w:hint="eastAsia"/>
          <w:sz w:val="24"/>
          <w:szCs w:val="24"/>
        </w:rPr>
        <w:t>可谓方兴未艾，欣欣向荣。在国内，截止</w:t>
      </w:r>
      <w:r>
        <w:rPr>
          <w:rFonts w:ascii="Times New Roman" w:eastAsia="宋体" w:hAnsi="Times New Roman" w:hint="eastAsia"/>
          <w:sz w:val="24"/>
          <w:szCs w:val="24"/>
        </w:rPr>
        <w:t>2023</w:t>
      </w:r>
      <w:r>
        <w:rPr>
          <w:rFonts w:ascii="Times New Roman" w:eastAsia="宋体" w:hAnsi="Times New Roman" w:hint="eastAsia"/>
          <w:sz w:val="24"/>
          <w:szCs w:val="24"/>
        </w:rPr>
        <w:t>年</w:t>
      </w:r>
      <w:r>
        <w:rPr>
          <w:rFonts w:ascii="Times New Roman" w:eastAsia="宋体" w:hAnsi="Times New Roman" w:hint="eastAsia"/>
          <w:sz w:val="24"/>
          <w:szCs w:val="24"/>
        </w:rPr>
        <w:t>10</w:t>
      </w:r>
      <w:r>
        <w:rPr>
          <w:rFonts w:ascii="Times New Roman" w:eastAsia="宋体" w:hAnsi="Times New Roman" w:hint="eastAsia"/>
          <w:sz w:val="24"/>
          <w:szCs w:val="24"/>
        </w:rPr>
        <w:t>月份，乘联会数据，乘用车市场渗透率</w:t>
      </w:r>
      <w:r>
        <w:rPr>
          <w:rFonts w:ascii="Times New Roman" w:eastAsia="宋体" w:hAnsi="Times New Roman" w:hint="eastAsia"/>
          <w:sz w:val="24"/>
          <w:szCs w:val="24"/>
        </w:rPr>
        <w:t>37.1%</w:t>
      </w:r>
      <w:r>
        <w:rPr>
          <w:rFonts w:ascii="Times New Roman" w:eastAsia="宋体" w:hAnsi="Times New Roman" w:hint="eastAsia"/>
          <w:sz w:val="24"/>
          <w:szCs w:val="24"/>
        </w:rPr>
        <w:t>，根据行业预测，到</w:t>
      </w:r>
      <w:r>
        <w:rPr>
          <w:rFonts w:ascii="Times New Roman" w:eastAsia="宋体" w:hAnsi="Times New Roman" w:hint="eastAsia"/>
          <w:sz w:val="24"/>
          <w:szCs w:val="24"/>
        </w:rPr>
        <w:t>2027</w:t>
      </w:r>
      <w:r>
        <w:rPr>
          <w:rFonts w:ascii="Times New Roman" w:eastAsia="宋体" w:hAnsi="Times New Roman" w:hint="eastAsia"/>
          <w:sz w:val="24"/>
          <w:szCs w:val="24"/>
        </w:rPr>
        <w:t>年，新能源汽车的渗透率将达到</w:t>
      </w:r>
      <w:r>
        <w:rPr>
          <w:rFonts w:ascii="Times New Roman" w:eastAsia="宋体" w:hAnsi="Times New Roman" w:hint="eastAsia"/>
          <w:sz w:val="24"/>
          <w:szCs w:val="24"/>
        </w:rPr>
        <w:t>65%</w:t>
      </w:r>
      <w:r>
        <w:rPr>
          <w:rFonts w:ascii="Times New Roman" w:eastAsia="宋体" w:hAnsi="Times New Roman" w:hint="eastAsia"/>
          <w:sz w:val="24"/>
          <w:szCs w:val="24"/>
        </w:rPr>
        <w:t>，这也将意味着</w:t>
      </w:r>
      <w:r>
        <w:rPr>
          <w:rFonts w:ascii="Times New Roman" w:eastAsia="宋体" w:hAnsi="Times New Roman" w:hint="eastAsia"/>
          <w:sz w:val="24"/>
          <w:szCs w:val="24"/>
        </w:rPr>
        <w:lastRenderedPageBreak/>
        <w:t>如果这个目标达成，电动车将在国内汽车市场占据绝对优势地位。</w:t>
      </w:r>
      <w:r>
        <w:rPr>
          <w:rFonts w:ascii="Times New Roman" w:eastAsia="宋体" w:hAnsi="Times New Roman" w:cs="宋体" w:hint="eastAsia"/>
          <w:sz w:val="24"/>
          <w:szCs w:val="24"/>
        </w:rPr>
        <w:t>随着经济发展与技术迭代，全国新能源汽车保有量越来越大。截至</w:t>
      </w:r>
      <w:r>
        <w:rPr>
          <w:rFonts w:ascii="Times New Roman" w:eastAsia="宋体" w:hAnsi="Times New Roman" w:cs="宋体" w:hint="eastAsia"/>
          <w:sz w:val="24"/>
          <w:szCs w:val="24"/>
        </w:rPr>
        <w:t>2023</w:t>
      </w:r>
      <w:r>
        <w:rPr>
          <w:rFonts w:ascii="Times New Roman" w:eastAsia="宋体" w:hAnsi="Times New Roman" w:cs="宋体" w:hint="eastAsia"/>
          <w:sz w:val="24"/>
          <w:szCs w:val="24"/>
        </w:rPr>
        <w:t>年，广东省新能源汽车保有量超过</w:t>
      </w:r>
      <w:r>
        <w:rPr>
          <w:rFonts w:ascii="Times New Roman" w:eastAsia="宋体" w:hAnsi="Times New Roman" w:cs="宋体" w:hint="eastAsia"/>
          <w:sz w:val="24"/>
          <w:szCs w:val="24"/>
        </w:rPr>
        <w:t>250</w:t>
      </w:r>
      <w:r>
        <w:rPr>
          <w:rFonts w:ascii="Times New Roman" w:eastAsia="宋体" w:hAnsi="Times New Roman" w:cs="宋体" w:hint="eastAsia"/>
          <w:sz w:val="24"/>
          <w:szCs w:val="24"/>
        </w:rPr>
        <w:t>万辆，北京市</w:t>
      </w:r>
      <w:r>
        <w:rPr>
          <w:rFonts w:ascii="Times New Roman" w:eastAsia="宋体" w:hAnsi="Times New Roman" w:cs="宋体" w:hint="eastAsia"/>
          <w:sz w:val="24"/>
          <w:szCs w:val="24"/>
          <w:shd w:val="clear" w:color="auto" w:fill="FFFFFF"/>
        </w:rPr>
        <w:t>新能源汽车保有量超过</w:t>
      </w:r>
      <w:r>
        <w:rPr>
          <w:rFonts w:ascii="Times New Roman" w:eastAsia="宋体" w:hAnsi="Times New Roman" w:cs="宋体" w:hint="eastAsia"/>
          <w:sz w:val="24"/>
          <w:szCs w:val="24"/>
          <w:shd w:val="clear" w:color="auto" w:fill="FFFFFF"/>
        </w:rPr>
        <w:t>80</w:t>
      </w:r>
      <w:r>
        <w:rPr>
          <w:rFonts w:ascii="Times New Roman" w:eastAsia="宋体" w:hAnsi="Times New Roman" w:cs="宋体" w:hint="eastAsia"/>
          <w:sz w:val="24"/>
          <w:szCs w:val="24"/>
          <w:shd w:val="clear" w:color="auto" w:fill="FFFFFF"/>
        </w:rPr>
        <w:t>万辆，体现出市场对于电动车充电桩的需求量较大。</w:t>
      </w:r>
    </w:p>
    <w:p w14:paraId="34B70773" w14:textId="77777777" w:rsidR="006174B2" w:rsidRDefault="00000000">
      <w:pPr>
        <w:widowControl/>
        <w:spacing w:line="360" w:lineRule="auto"/>
        <w:ind w:firstLine="420"/>
        <w:jc w:val="left"/>
        <w:rPr>
          <w:rFonts w:ascii="Times New Roman" w:eastAsia="宋体" w:hAnsi="Times New Roman" w:cs="宋体"/>
          <w:sz w:val="24"/>
          <w:szCs w:val="24"/>
        </w:rPr>
      </w:pPr>
      <w:r>
        <w:rPr>
          <w:rFonts w:ascii="Times New Roman" w:eastAsia="宋体" w:hAnsi="Times New Roman" w:hint="eastAsia"/>
          <w:sz w:val="24"/>
          <w:szCs w:val="24"/>
        </w:rPr>
        <w:t>正由于电动车越发成为大势所趋，电动车充电问题的解决将更加迫在眉睫。当前</w:t>
      </w:r>
      <w:r>
        <w:rPr>
          <w:rFonts w:ascii="Times New Roman" w:eastAsia="宋体" w:hAnsi="Times New Roman" w:cs="宋体" w:hint="eastAsia"/>
          <w:sz w:val="24"/>
          <w:szCs w:val="24"/>
          <w:shd w:val="clear" w:color="auto" w:fill="FFFFFF"/>
        </w:rPr>
        <w:t>车辆</w:t>
      </w:r>
      <w:r>
        <w:rPr>
          <w:rFonts w:ascii="Times New Roman" w:eastAsia="宋体" w:hAnsi="Times New Roman" w:cs="宋体" w:hint="eastAsia"/>
          <w:sz w:val="24"/>
          <w:szCs w:val="24"/>
          <w:shd w:val="clear" w:color="auto" w:fill="FFFFFF"/>
        </w:rPr>
        <w:t>BMS</w:t>
      </w:r>
      <w:r>
        <w:rPr>
          <w:rFonts w:ascii="Times New Roman" w:eastAsia="宋体" w:hAnsi="Times New Roman" w:cs="宋体" w:hint="eastAsia"/>
          <w:sz w:val="24"/>
          <w:szCs w:val="24"/>
          <w:shd w:val="clear" w:color="auto" w:fill="FFFFFF"/>
        </w:rPr>
        <w:t>系统会根据电池状态</w:t>
      </w:r>
      <w:r>
        <w:rPr>
          <w:rFonts w:ascii="Times New Roman" w:eastAsia="宋体" w:hAnsi="Times New Roman" w:cs="宋体" w:hint="eastAsia"/>
          <w:sz w:val="24"/>
          <w:szCs w:val="24"/>
          <w:shd w:val="clear" w:color="auto" w:fill="FFFFFF"/>
        </w:rPr>
        <w:t>/</w:t>
      </w:r>
      <w:r>
        <w:rPr>
          <w:rFonts w:ascii="Times New Roman" w:eastAsia="宋体" w:hAnsi="Times New Roman" w:cs="宋体" w:hint="eastAsia"/>
          <w:sz w:val="24"/>
          <w:szCs w:val="24"/>
          <w:shd w:val="clear" w:color="auto" w:fill="FFFFFF"/>
        </w:rPr>
        <w:t>温度</w:t>
      </w:r>
      <w:r>
        <w:rPr>
          <w:rFonts w:ascii="Times New Roman" w:eastAsia="宋体" w:hAnsi="Times New Roman" w:cs="宋体" w:hint="eastAsia"/>
          <w:sz w:val="24"/>
          <w:szCs w:val="24"/>
          <w:shd w:val="clear" w:color="auto" w:fill="FFFFFF"/>
        </w:rPr>
        <w:t>/</w:t>
      </w:r>
      <w:r>
        <w:rPr>
          <w:rFonts w:ascii="Times New Roman" w:eastAsia="宋体" w:hAnsi="Times New Roman" w:cs="宋体" w:hint="eastAsia"/>
          <w:sz w:val="24"/>
          <w:szCs w:val="24"/>
          <w:shd w:val="clear" w:color="auto" w:fill="FFFFFF"/>
        </w:rPr>
        <w:t>当前容量等信息，根据相应的充电</w:t>
      </w:r>
      <w:proofErr w:type="gramStart"/>
      <w:r>
        <w:rPr>
          <w:rFonts w:ascii="Times New Roman" w:eastAsia="宋体" w:hAnsi="Times New Roman" w:cs="宋体" w:hint="eastAsia"/>
          <w:sz w:val="24"/>
          <w:szCs w:val="24"/>
          <w:shd w:val="clear" w:color="auto" w:fill="FFFFFF"/>
        </w:rPr>
        <w:t>桩进行</w:t>
      </w:r>
      <w:proofErr w:type="gramEnd"/>
      <w:r>
        <w:rPr>
          <w:rFonts w:ascii="Times New Roman" w:eastAsia="宋体" w:hAnsi="Times New Roman" w:cs="宋体" w:hint="eastAsia"/>
          <w:sz w:val="24"/>
          <w:szCs w:val="24"/>
          <w:shd w:val="clear" w:color="auto" w:fill="FFFFFF"/>
        </w:rPr>
        <w:t>调节，</w:t>
      </w:r>
      <w:r>
        <w:rPr>
          <w:rFonts w:ascii="Times New Roman" w:eastAsia="宋体" w:hAnsi="Times New Roman" w:cs="宋体" w:hint="eastAsia"/>
          <w:kern w:val="0"/>
          <w:sz w:val="24"/>
          <w:szCs w:val="24"/>
          <w:lang w:bidi="ar"/>
        </w:rPr>
        <w:t>采取最合适的方式维持最合适的功率进行充电，一般公用</w:t>
      </w:r>
      <w:proofErr w:type="gramStart"/>
      <w:r>
        <w:rPr>
          <w:rFonts w:ascii="Times New Roman" w:eastAsia="宋体" w:hAnsi="Times New Roman" w:cs="宋体" w:hint="eastAsia"/>
          <w:kern w:val="0"/>
          <w:sz w:val="24"/>
          <w:szCs w:val="24"/>
          <w:lang w:bidi="ar"/>
        </w:rPr>
        <w:t>充电桩由</w:t>
      </w:r>
      <w:proofErr w:type="gramEnd"/>
      <w:r>
        <w:rPr>
          <w:rFonts w:ascii="Times New Roman" w:eastAsia="宋体" w:hAnsi="Times New Roman" w:cs="宋体" w:hint="eastAsia"/>
          <w:kern w:val="0"/>
          <w:sz w:val="24"/>
          <w:szCs w:val="24"/>
          <w:lang w:bidi="ar"/>
        </w:rPr>
        <w:t>20A-30A</w:t>
      </w:r>
      <w:r>
        <w:rPr>
          <w:rFonts w:ascii="Times New Roman" w:eastAsia="宋体" w:hAnsi="Times New Roman" w:cs="宋体" w:hint="eastAsia"/>
          <w:kern w:val="0"/>
          <w:sz w:val="24"/>
          <w:szCs w:val="24"/>
          <w:lang w:bidi="ar"/>
        </w:rPr>
        <w:t>低电流恒流并逐步提高电压至</w:t>
      </w:r>
      <w:r>
        <w:rPr>
          <w:rFonts w:ascii="Times New Roman" w:eastAsia="宋体" w:hAnsi="Times New Roman" w:cs="宋体" w:hint="eastAsia"/>
          <w:kern w:val="0"/>
          <w:sz w:val="24"/>
          <w:szCs w:val="24"/>
          <w:lang w:bidi="ar"/>
        </w:rPr>
        <w:t>400V</w:t>
      </w:r>
      <w:r>
        <w:rPr>
          <w:rFonts w:ascii="Times New Roman" w:eastAsia="宋体" w:hAnsi="Times New Roman" w:cs="宋体" w:hint="eastAsia"/>
          <w:kern w:val="0"/>
          <w:sz w:val="24"/>
          <w:szCs w:val="24"/>
          <w:lang w:bidi="ar"/>
        </w:rPr>
        <w:t>左右，此时功率为</w:t>
      </w:r>
      <w:r>
        <w:rPr>
          <w:rFonts w:ascii="Times New Roman" w:eastAsia="宋体" w:hAnsi="Times New Roman" w:cs="宋体" w:hint="eastAsia"/>
          <w:kern w:val="0"/>
          <w:sz w:val="24"/>
          <w:szCs w:val="24"/>
          <w:lang w:bidi="ar"/>
        </w:rPr>
        <w:t>8-10kW</w:t>
      </w:r>
      <w:r>
        <w:rPr>
          <w:rFonts w:ascii="Times New Roman" w:eastAsia="宋体" w:hAnsi="Times New Roman" w:cs="宋体" w:hint="eastAsia"/>
          <w:kern w:val="0"/>
          <w:sz w:val="24"/>
          <w:szCs w:val="24"/>
          <w:lang w:bidi="ar"/>
        </w:rPr>
        <w:t>；再提高电流至</w:t>
      </w:r>
      <w:r>
        <w:rPr>
          <w:rFonts w:ascii="Times New Roman" w:eastAsia="宋体" w:hAnsi="Times New Roman" w:cs="宋体" w:hint="eastAsia"/>
          <w:kern w:val="0"/>
          <w:sz w:val="24"/>
          <w:szCs w:val="24"/>
          <w:lang w:bidi="ar"/>
        </w:rPr>
        <w:t>180A</w:t>
      </w:r>
      <w:r>
        <w:rPr>
          <w:rFonts w:ascii="Times New Roman" w:eastAsia="宋体" w:hAnsi="Times New Roman" w:cs="宋体" w:hint="eastAsia"/>
          <w:kern w:val="0"/>
          <w:sz w:val="24"/>
          <w:szCs w:val="24"/>
          <w:lang w:bidi="ar"/>
        </w:rPr>
        <w:t>，此时功率为</w:t>
      </w:r>
      <w:r>
        <w:rPr>
          <w:rFonts w:ascii="Times New Roman" w:eastAsia="宋体" w:hAnsi="Times New Roman" w:cs="宋体" w:hint="eastAsia"/>
          <w:kern w:val="0"/>
          <w:sz w:val="24"/>
          <w:szCs w:val="24"/>
          <w:lang w:bidi="ar"/>
        </w:rPr>
        <w:t>70kW</w:t>
      </w:r>
      <w:r>
        <w:rPr>
          <w:rFonts w:ascii="Times New Roman" w:eastAsia="宋体" w:hAnsi="Times New Roman" w:cs="宋体" w:hint="eastAsia"/>
          <w:kern w:val="0"/>
          <w:sz w:val="24"/>
          <w:szCs w:val="24"/>
          <w:lang w:bidi="ar"/>
        </w:rPr>
        <w:t>，理论上</w:t>
      </w:r>
      <w:r>
        <w:rPr>
          <w:rFonts w:ascii="Times New Roman" w:eastAsia="宋体" w:hAnsi="Times New Roman" w:cs="宋体" w:hint="eastAsia"/>
          <w:kern w:val="0"/>
          <w:sz w:val="24"/>
          <w:szCs w:val="24"/>
          <w:lang w:bidi="ar"/>
        </w:rPr>
        <w:t>0.67</w:t>
      </w:r>
      <w:r>
        <w:rPr>
          <w:rFonts w:ascii="Times New Roman" w:eastAsia="宋体" w:hAnsi="Times New Roman" w:cs="宋体" w:hint="eastAsia"/>
          <w:kern w:val="0"/>
          <w:sz w:val="24"/>
          <w:szCs w:val="24"/>
          <w:lang w:bidi="ar"/>
        </w:rPr>
        <w:t>小时可以将电池由</w:t>
      </w:r>
      <w:r>
        <w:rPr>
          <w:rFonts w:ascii="Times New Roman" w:eastAsia="宋体" w:hAnsi="Times New Roman" w:cs="宋体" w:hint="eastAsia"/>
          <w:kern w:val="0"/>
          <w:sz w:val="24"/>
          <w:szCs w:val="24"/>
          <w:lang w:bidi="ar"/>
        </w:rPr>
        <w:t>30%</w:t>
      </w:r>
      <w:proofErr w:type="gramStart"/>
      <w:r>
        <w:rPr>
          <w:rFonts w:ascii="Times New Roman" w:eastAsia="宋体" w:hAnsi="Times New Roman" w:cs="宋体" w:hint="eastAsia"/>
          <w:kern w:val="0"/>
          <w:sz w:val="24"/>
          <w:szCs w:val="24"/>
          <w:lang w:bidi="ar"/>
        </w:rPr>
        <w:t>充到</w:t>
      </w:r>
      <w:proofErr w:type="gramEnd"/>
      <w:r>
        <w:rPr>
          <w:rFonts w:ascii="Times New Roman" w:eastAsia="宋体" w:hAnsi="Times New Roman" w:cs="宋体" w:hint="eastAsia"/>
          <w:kern w:val="0"/>
          <w:sz w:val="24"/>
          <w:szCs w:val="24"/>
          <w:lang w:bidi="ar"/>
        </w:rPr>
        <w:t>80%</w:t>
      </w:r>
      <w:r>
        <w:rPr>
          <w:rFonts w:ascii="Times New Roman" w:eastAsia="宋体" w:hAnsi="Times New Roman" w:cs="宋体" w:hint="eastAsia"/>
          <w:kern w:val="0"/>
          <w:sz w:val="24"/>
          <w:szCs w:val="24"/>
          <w:lang w:bidi="ar"/>
        </w:rPr>
        <w:t>；当电量接近</w:t>
      </w:r>
      <w:r>
        <w:rPr>
          <w:rFonts w:ascii="Times New Roman" w:eastAsia="宋体" w:hAnsi="Times New Roman" w:cs="宋体" w:hint="eastAsia"/>
          <w:kern w:val="0"/>
          <w:sz w:val="24"/>
          <w:szCs w:val="24"/>
          <w:lang w:bidi="ar"/>
        </w:rPr>
        <w:t>80%</w:t>
      </w:r>
      <w:r>
        <w:rPr>
          <w:rFonts w:ascii="Times New Roman" w:eastAsia="宋体" w:hAnsi="Times New Roman" w:cs="宋体" w:hint="eastAsia"/>
          <w:kern w:val="0"/>
          <w:sz w:val="24"/>
          <w:szCs w:val="24"/>
          <w:lang w:bidi="ar"/>
        </w:rPr>
        <w:t>时降低电流至</w:t>
      </w:r>
      <w:r>
        <w:rPr>
          <w:rFonts w:ascii="Times New Roman" w:eastAsia="宋体" w:hAnsi="Times New Roman" w:cs="宋体" w:hint="eastAsia"/>
          <w:kern w:val="0"/>
          <w:sz w:val="24"/>
          <w:szCs w:val="24"/>
          <w:lang w:bidi="ar"/>
        </w:rPr>
        <w:t>135A</w:t>
      </w:r>
      <w:r>
        <w:rPr>
          <w:rFonts w:ascii="Times New Roman" w:eastAsia="宋体" w:hAnsi="Times New Roman" w:cs="宋体" w:hint="eastAsia"/>
          <w:kern w:val="0"/>
          <w:sz w:val="24"/>
          <w:szCs w:val="24"/>
          <w:lang w:bidi="ar"/>
        </w:rPr>
        <w:t>，此时功率为</w:t>
      </w:r>
      <w:r>
        <w:rPr>
          <w:rFonts w:ascii="Times New Roman" w:eastAsia="宋体" w:hAnsi="Times New Roman" w:cs="宋体" w:hint="eastAsia"/>
          <w:kern w:val="0"/>
          <w:sz w:val="24"/>
          <w:szCs w:val="24"/>
          <w:lang w:bidi="ar"/>
        </w:rPr>
        <w:t>50KW</w:t>
      </w:r>
      <w:r>
        <w:rPr>
          <w:rFonts w:ascii="Times New Roman" w:eastAsia="宋体" w:hAnsi="Times New Roman" w:cs="宋体" w:hint="eastAsia"/>
          <w:kern w:val="0"/>
          <w:sz w:val="24"/>
          <w:szCs w:val="24"/>
          <w:lang w:bidi="ar"/>
        </w:rPr>
        <w:t>，最后</w:t>
      </w:r>
      <w:r>
        <w:rPr>
          <w:rFonts w:ascii="Times New Roman" w:eastAsia="宋体" w:hAnsi="Times New Roman" w:cs="宋体" w:hint="eastAsia"/>
          <w:kern w:val="0"/>
          <w:sz w:val="24"/>
          <w:szCs w:val="24"/>
          <w:lang w:bidi="ar"/>
        </w:rPr>
        <w:t>10%</w:t>
      </w:r>
      <w:r>
        <w:rPr>
          <w:rFonts w:ascii="Times New Roman" w:eastAsia="宋体" w:hAnsi="Times New Roman" w:cs="宋体" w:hint="eastAsia"/>
          <w:kern w:val="0"/>
          <w:sz w:val="24"/>
          <w:szCs w:val="24"/>
          <w:lang w:bidi="ar"/>
        </w:rPr>
        <w:t>的电量将降回</w:t>
      </w:r>
      <w:r>
        <w:rPr>
          <w:rFonts w:ascii="Times New Roman" w:eastAsia="宋体" w:hAnsi="Times New Roman" w:cs="宋体" w:hint="eastAsia"/>
          <w:kern w:val="0"/>
          <w:sz w:val="24"/>
          <w:szCs w:val="24"/>
          <w:lang w:bidi="ar"/>
        </w:rPr>
        <w:t>20A-30A</w:t>
      </w:r>
      <w:r>
        <w:rPr>
          <w:rFonts w:ascii="Times New Roman" w:eastAsia="宋体" w:hAnsi="Times New Roman" w:cs="宋体" w:hint="eastAsia"/>
          <w:kern w:val="0"/>
          <w:sz w:val="24"/>
          <w:szCs w:val="24"/>
          <w:lang w:bidi="ar"/>
        </w:rPr>
        <w:t>的电流，功率回到</w:t>
      </w:r>
      <w:r>
        <w:rPr>
          <w:rFonts w:ascii="Times New Roman" w:eastAsia="宋体" w:hAnsi="Times New Roman" w:cs="宋体" w:hint="eastAsia"/>
          <w:kern w:val="0"/>
          <w:sz w:val="24"/>
          <w:szCs w:val="24"/>
          <w:lang w:bidi="ar"/>
        </w:rPr>
        <w:t>8-10kW</w:t>
      </w:r>
      <w:r>
        <w:rPr>
          <w:rFonts w:ascii="Times New Roman" w:eastAsia="宋体" w:hAnsi="Times New Roman" w:cs="宋体" w:hint="eastAsia"/>
          <w:kern w:val="0"/>
          <w:sz w:val="24"/>
          <w:szCs w:val="24"/>
          <w:lang w:bidi="ar"/>
        </w:rPr>
        <w:t>。而家用</w:t>
      </w:r>
      <w:proofErr w:type="gramStart"/>
      <w:r>
        <w:rPr>
          <w:rFonts w:ascii="Times New Roman" w:eastAsia="宋体" w:hAnsi="Times New Roman" w:cs="宋体" w:hint="eastAsia"/>
          <w:kern w:val="0"/>
          <w:sz w:val="24"/>
          <w:szCs w:val="24"/>
          <w:lang w:bidi="ar"/>
        </w:rPr>
        <w:t>充电桩则是</w:t>
      </w:r>
      <w:proofErr w:type="gramEnd"/>
      <w:r>
        <w:rPr>
          <w:rFonts w:ascii="Times New Roman" w:eastAsia="宋体" w:hAnsi="Times New Roman" w:cs="宋体" w:hint="eastAsia"/>
          <w:kern w:val="0"/>
          <w:sz w:val="24"/>
          <w:szCs w:val="24"/>
          <w:lang w:bidi="ar"/>
        </w:rPr>
        <w:t>以</w:t>
      </w:r>
      <w:r>
        <w:rPr>
          <w:rFonts w:ascii="Times New Roman" w:eastAsia="宋体" w:hAnsi="Times New Roman" w:cs="宋体" w:hint="eastAsia"/>
          <w:kern w:val="0"/>
          <w:sz w:val="24"/>
          <w:szCs w:val="24"/>
          <w:lang w:bidi="ar"/>
        </w:rPr>
        <w:t>220V</w:t>
      </w:r>
      <w:r>
        <w:rPr>
          <w:rFonts w:ascii="Times New Roman" w:eastAsia="宋体" w:hAnsi="Times New Roman" w:cs="宋体" w:hint="eastAsia"/>
          <w:kern w:val="0"/>
          <w:sz w:val="24"/>
          <w:szCs w:val="24"/>
          <w:lang w:bidi="ar"/>
        </w:rPr>
        <w:t>恒压，</w:t>
      </w:r>
      <w:r>
        <w:rPr>
          <w:rFonts w:ascii="Times New Roman" w:eastAsia="宋体" w:hAnsi="Times New Roman" w:cs="宋体" w:hint="eastAsia"/>
          <w:kern w:val="0"/>
          <w:sz w:val="24"/>
          <w:szCs w:val="24"/>
          <w:lang w:bidi="ar"/>
        </w:rPr>
        <w:t>32A</w:t>
      </w:r>
      <w:r>
        <w:rPr>
          <w:rFonts w:ascii="Times New Roman" w:eastAsia="宋体" w:hAnsi="Times New Roman" w:cs="宋体" w:hint="eastAsia"/>
          <w:kern w:val="0"/>
          <w:sz w:val="24"/>
          <w:szCs w:val="24"/>
          <w:lang w:bidi="ar"/>
        </w:rPr>
        <w:t>恒流的涓流充电，</w:t>
      </w:r>
      <w:r>
        <w:rPr>
          <w:rFonts w:ascii="Times New Roman" w:eastAsia="宋体" w:hAnsi="Times New Roman" w:cs="宋体" w:hint="eastAsia"/>
          <w:kern w:val="0"/>
          <w:sz w:val="24"/>
          <w:szCs w:val="24"/>
          <w:lang w:bidi="ar"/>
        </w:rPr>
        <w:t>80</w:t>
      </w:r>
      <w:r>
        <w:rPr>
          <w:rFonts w:ascii="Times New Roman" w:eastAsia="宋体" w:hAnsi="Times New Roman" w:cs="宋体" w:hint="eastAsia"/>
          <w:kern w:val="0"/>
          <w:sz w:val="24"/>
          <w:szCs w:val="24"/>
          <w:lang w:bidi="ar"/>
        </w:rPr>
        <w:t>度</w:t>
      </w:r>
      <w:proofErr w:type="gramStart"/>
      <w:r>
        <w:rPr>
          <w:rFonts w:ascii="Times New Roman" w:eastAsia="宋体" w:hAnsi="Times New Roman" w:cs="宋体" w:hint="eastAsia"/>
          <w:kern w:val="0"/>
          <w:sz w:val="24"/>
          <w:szCs w:val="24"/>
          <w:lang w:bidi="ar"/>
        </w:rPr>
        <w:t>电需要</w:t>
      </w:r>
      <w:proofErr w:type="gramEnd"/>
      <w:r>
        <w:rPr>
          <w:rFonts w:ascii="Times New Roman" w:eastAsia="宋体" w:hAnsi="Times New Roman" w:cs="宋体" w:hint="eastAsia"/>
          <w:kern w:val="0"/>
          <w:sz w:val="24"/>
          <w:szCs w:val="24"/>
          <w:lang w:bidi="ar"/>
        </w:rPr>
        <w:t>12</w:t>
      </w:r>
      <w:r>
        <w:rPr>
          <w:rFonts w:ascii="Times New Roman" w:eastAsia="宋体" w:hAnsi="Times New Roman" w:cs="宋体" w:hint="eastAsia"/>
          <w:kern w:val="0"/>
          <w:sz w:val="24"/>
          <w:szCs w:val="24"/>
          <w:lang w:bidi="ar"/>
        </w:rPr>
        <w:t>小时充满。</w:t>
      </w:r>
      <w:r>
        <w:rPr>
          <w:rFonts w:ascii="Times New Roman" w:eastAsia="宋体" w:hAnsi="Times New Roman" w:cs="宋体" w:hint="eastAsia"/>
          <w:kern w:val="0"/>
          <w:sz w:val="24"/>
          <w:szCs w:val="24"/>
          <w:lang w:bidi="ar"/>
        </w:rPr>
        <w:fldChar w:fldCharType="begin"/>
      </w:r>
      <w:r>
        <w:rPr>
          <w:rFonts w:ascii="Times New Roman" w:eastAsia="宋体" w:hAnsi="Times New Roman" w:cs="宋体" w:hint="eastAsia"/>
          <w:kern w:val="0"/>
          <w:sz w:val="24"/>
          <w:szCs w:val="24"/>
          <w:lang w:bidi="ar"/>
        </w:rPr>
        <w:instrText xml:space="preserve"> HYPERLINK "https://www.zhihu.com/search?q=%E8%87%AA%E7%84%B616A&amp;search_source=Entity&amp;hybrid_search_source=Entity&amp;hybrid_search_extra={"sourceType":"answer","sourceId":1483146034}" \t "_blank" </w:instrText>
      </w:r>
      <w:r>
        <w:rPr>
          <w:rFonts w:ascii="Times New Roman" w:eastAsia="宋体" w:hAnsi="Times New Roman" w:cs="宋体" w:hint="eastAsia"/>
          <w:kern w:val="0"/>
          <w:sz w:val="24"/>
          <w:szCs w:val="24"/>
          <w:lang w:bidi="ar"/>
        </w:rPr>
      </w:r>
      <w:r>
        <w:rPr>
          <w:rFonts w:ascii="Times New Roman" w:eastAsia="宋体" w:hAnsi="Times New Roman" w:cs="宋体" w:hint="eastAsia"/>
          <w:kern w:val="0"/>
          <w:sz w:val="24"/>
          <w:szCs w:val="24"/>
          <w:lang w:bidi="ar"/>
        </w:rPr>
        <w:fldChar w:fldCharType="separate"/>
      </w:r>
      <w:r>
        <w:rPr>
          <w:rStyle w:val="a9"/>
          <w:rFonts w:ascii="Times New Roman" w:eastAsia="宋体" w:hAnsi="Times New Roman" w:cs="宋体" w:hint="eastAsia"/>
          <w:color w:val="auto"/>
          <w:sz w:val="24"/>
          <w:szCs w:val="24"/>
          <w:u w:val="none"/>
        </w:rPr>
        <w:t>自然</w:t>
      </w:r>
      <w:r>
        <w:rPr>
          <w:rStyle w:val="a9"/>
          <w:rFonts w:ascii="Times New Roman" w:eastAsia="宋体" w:hAnsi="Times New Roman" w:cs="宋体" w:hint="eastAsia"/>
          <w:color w:val="auto"/>
          <w:sz w:val="24"/>
          <w:szCs w:val="24"/>
          <w:u w:val="none"/>
        </w:rPr>
        <w:t>16A</w:t>
      </w:r>
      <w:r>
        <w:rPr>
          <w:rFonts w:ascii="Times New Roman" w:eastAsia="宋体" w:hAnsi="Times New Roman" w:cs="宋体" w:hint="eastAsia"/>
          <w:kern w:val="0"/>
          <w:sz w:val="24"/>
          <w:szCs w:val="24"/>
          <w:lang w:bidi="ar"/>
        </w:rPr>
        <w:fldChar w:fldCharType="end"/>
      </w:r>
      <w:r>
        <w:rPr>
          <w:rFonts w:ascii="Times New Roman" w:eastAsia="宋体" w:hAnsi="Times New Roman" w:cs="宋体" w:hint="eastAsia"/>
          <w:kern w:val="0"/>
          <w:sz w:val="24"/>
          <w:szCs w:val="24"/>
          <w:lang w:bidi="ar"/>
        </w:rPr>
        <w:t>的随车充则只有</w:t>
      </w:r>
      <w:r>
        <w:rPr>
          <w:rFonts w:ascii="Times New Roman" w:eastAsia="宋体" w:hAnsi="Times New Roman" w:cs="宋体" w:hint="eastAsia"/>
          <w:kern w:val="0"/>
          <w:sz w:val="24"/>
          <w:szCs w:val="24"/>
          <w:lang w:bidi="ar"/>
        </w:rPr>
        <w:t>220*16=3.5KW</w:t>
      </w:r>
      <w:r>
        <w:rPr>
          <w:rFonts w:ascii="Times New Roman" w:eastAsia="宋体" w:hAnsi="Times New Roman" w:cs="宋体" w:hint="eastAsia"/>
          <w:kern w:val="0"/>
          <w:sz w:val="24"/>
          <w:szCs w:val="24"/>
          <w:lang w:bidi="ar"/>
        </w:rPr>
        <w:t>，</w:t>
      </w:r>
      <w:r>
        <w:rPr>
          <w:rFonts w:ascii="Times New Roman" w:eastAsia="宋体" w:hAnsi="Times New Roman" w:cs="宋体" w:hint="eastAsia"/>
          <w:kern w:val="0"/>
          <w:sz w:val="24"/>
          <w:szCs w:val="24"/>
          <w:lang w:bidi="ar"/>
        </w:rPr>
        <w:t>1</w:t>
      </w:r>
      <w:r>
        <w:rPr>
          <w:rFonts w:ascii="Times New Roman" w:eastAsia="宋体" w:hAnsi="Times New Roman" w:cs="宋体" w:hint="eastAsia"/>
          <w:kern w:val="0"/>
          <w:sz w:val="24"/>
          <w:szCs w:val="24"/>
          <w:lang w:bidi="ar"/>
        </w:rPr>
        <w:t>小时</w:t>
      </w:r>
      <w:r>
        <w:rPr>
          <w:rFonts w:ascii="Times New Roman" w:eastAsia="宋体" w:hAnsi="Times New Roman" w:cs="宋体" w:hint="eastAsia"/>
          <w:kern w:val="0"/>
          <w:sz w:val="24"/>
          <w:szCs w:val="24"/>
          <w:lang w:bidi="ar"/>
        </w:rPr>
        <w:t>3.5</w:t>
      </w:r>
      <w:r>
        <w:rPr>
          <w:rFonts w:ascii="Times New Roman" w:eastAsia="宋体" w:hAnsi="Times New Roman" w:cs="宋体" w:hint="eastAsia"/>
          <w:kern w:val="0"/>
          <w:sz w:val="24"/>
          <w:szCs w:val="24"/>
          <w:lang w:bidi="ar"/>
        </w:rPr>
        <w:t>度电，</w:t>
      </w:r>
      <w:r>
        <w:rPr>
          <w:rFonts w:ascii="Times New Roman" w:eastAsia="宋体" w:hAnsi="Times New Roman" w:cs="宋体" w:hint="eastAsia"/>
          <w:kern w:val="0"/>
          <w:sz w:val="24"/>
          <w:szCs w:val="24"/>
          <w:lang w:bidi="ar"/>
        </w:rPr>
        <w:t>80</w:t>
      </w:r>
      <w:r>
        <w:rPr>
          <w:rFonts w:ascii="Times New Roman" w:eastAsia="宋体" w:hAnsi="Times New Roman" w:cs="宋体" w:hint="eastAsia"/>
          <w:kern w:val="0"/>
          <w:sz w:val="24"/>
          <w:szCs w:val="24"/>
          <w:lang w:bidi="ar"/>
        </w:rPr>
        <w:t>度</w:t>
      </w:r>
      <w:proofErr w:type="gramStart"/>
      <w:r>
        <w:rPr>
          <w:rFonts w:ascii="Times New Roman" w:eastAsia="宋体" w:hAnsi="Times New Roman" w:cs="宋体" w:hint="eastAsia"/>
          <w:kern w:val="0"/>
          <w:sz w:val="24"/>
          <w:szCs w:val="24"/>
          <w:lang w:bidi="ar"/>
        </w:rPr>
        <w:t>电需要</w:t>
      </w:r>
      <w:proofErr w:type="gramEnd"/>
      <w:r>
        <w:rPr>
          <w:rFonts w:ascii="Times New Roman" w:eastAsia="宋体" w:hAnsi="Times New Roman" w:cs="宋体" w:hint="eastAsia"/>
          <w:kern w:val="0"/>
          <w:sz w:val="24"/>
          <w:szCs w:val="24"/>
          <w:lang w:bidi="ar"/>
        </w:rPr>
        <w:t>充</w:t>
      </w:r>
      <w:r>
        <w:rPr>
          <w:rFonts w:ascii="Times New Roman" w:eastAsia="宋体" w:hAnsi="Times New Roman" w:cs="宋体" w:hint="eastAsia"/>
          <w:kern w:val="0"/>
          <w:sz w:val="24"/>
          <w:szCs w:val="24"/>
          <w:lang w:bidi="ar"/>
        </w:rPr>
        <w:t>24</w:t>
      </w:r>
      <w:r>
        <w:rPr>
          <w:rFonts w:ascii="Times New Roman" w:eastAsia="宋体" w:hAnsi="Times New Roman" w:cs="宋体" w:hint="eastAsia"/>
          <w:kern w:val="0"/>
          <w:sz w:val="24"/>
          <w:szCs w:val="24"/>
          <w:lang w:bidi="ar"/>
        </w:rPr>
        <w:t>个小时左右。而当重大节假日来临时，家用充电桩和随车</w:t>
      </w:r>
      <w:proofErr w:type="gramStart"/>
      <w:r>
        <w:rPr>
          <w:rFonts w:ascii="Times New Roman" w:eastAsia="宋体" w:hAnsi="Times New Roman" w:cs="宋体" w:hint="eastAsia"/>
          <w:kern w:val="0"/>
          <w:sz w:val="24"/>
          <w:szCs w:val="24"/>
          <w:lang w:bidi="ar"/>
        </w:rPr>
        <w:t>充不再</w:t>
      </w:r>
      <w:proofErr w:type="gramEnd"/>
      <w:r>
        <w:rPr>
          <w:rFonts w:ascii="Times New Roman" w:eastAsia="宋体" w:hAnsi="Times New Roman" w:cs="宋体" w:hint="eastAsia"/>
          <w:kern w:val="0"/>
          <w:sz w:val="24"/>
          <w:szCs w:val="24"/>
          <w:lang w:bidi="ar"/>
        </w:rPr>
        <w:t>能满足居民的用电需求，为保证出行便利，车主们迫切需要能够提供快速充电的充电桩。</w:t>
      </w:r>
    </w:p>
    <w:p w14:paraId="6CA59560" w14:textId="77777777" w:rsidR="006174B2" w:rsidRDefault="00000000">
      <w:pPr>
        <w:spacing w:line="360" w:lineRule="auto"/>
        <w:ind w:firstLineChars="200" w:firstLine="480"/>
        <w:rPr>
          <w:rFonts w:ascii="Times New Roman" w:eastAsia="宋体" w:hAnsi="Times New Roman"/>
        </w:rPr>
      </w:pPr>
      <w:r>
        <w:rPr>
          <w:rFonts w:ascii="Times New Roman" w:eastAsia="宋体" w:hAnsi="Times New Roman" w:hint="eastAsia"/>
          <w:sz w:val="24"/>
          <w:szCs w:val="24"/>
        </w:rPr>
        <w:t>根据百度地图发布的</w:t>
      </w:r>
      <w:r>
        <w:rPr>
          <w:rFonts w:ascii="Times New Roman" w:eastAsia="宋体" w:hAnsi="Times New Roman"/>
          <w:sz w:val="22"/>
          <w:szCs w:val="22"/>
          <w:shd w:val="clear" w:color="auto" w:fill="FFFFFF"/>
        </w:rPr>
        <w:t>“</w:t>
      </w:r>
      <w:r>
        <w:rPr>
          <w:rFonts w:ascii="Times New Roman" w:eastAsia="宋体" w:hAnsi="Times New Roman"/>
          <w:sz w:val="24"/>
          <w:szCs w:val="24"/>
          <w:shd w:val="clear" w:color="auto" w:fill="FFFFFF"/>
        </w:rPr>
        <w:t>五一假期首日服务区充电站排队时长榜</w:t>
      </w:r>
      <w:r>
        <w:rPr>
          <w:rFonts w:ascii="Times New Roman" w:eastAsia="宋体" w:hAnsi="Times New Roman"/>
          <w:sz w:val="24"/>
          <w:szCs w:val="24"/>
          <w:shd w:val="clear" w:color="auto" w:fill="FFFFFF"/>
        </w:rPr>
        <w:t>”</w:t>
      </w:r>
      <w:r>
        <w:rPr>
          <w:rFonts w:ascii="Times New Roman" w:eastAsia="宋体" w:hAnsi="Times New Roman" w:hint="eastAsia"/>
          <w:sz w:val="24"/>
          <w:szCs w:val="24"/>
          <w:shd w:val="clear" w:color="auto" w:fill="FFFFFF"/>
        </w:rPr>
        <w:t>，</w:t>
      </w:r>
      <w:r>
        <w:rPr>
          <w:rFonts w:ascii="Times New Roman" w:eastAsia="宋体" w:hAnsi="Times New Roman"/>
          <w:sz w:val="24"/>
          <w:szCs w:val="24"/>
          <w:shd w:val="clear" w:color="auto" w:fill="FFFFFF"/>
        </w:rPr>
        <w:t>雅安市雅西高速石棉服务区充电站与台州市临海服务区充电站，最长排队等待时间</w:t>
      </w:r>
      <w:r>
        <w:rPr>
          <w:rFonts w:ascii="Times New Roman" w:eastAsia="宋体" w:hAnsi="Times New Roman" w:hint="eastAsia"/>
          <w:sz w:val="24"/>
          <w:szCs w:val="24"/>
          <w:shd w:val="clear" w:color="auto" w:fill="FFFFFF"/>
        </w:rPr>
        <w:t>高达</w:t>
      </w:r>
      <w:r>
        <w:rPr>
          <w:rFonts w:ascii="Times New Roman" w:eastAsia="宋体" w:hAnsi="Times New Roman"/>
          <w:sz w:val="24"/>
          <w:szCs w:val="24"/>
          <w:shd w:val="clear" w:color="auto" w:fill="FFFFFF"/>
        </w:rPr>
        <w:t>2.7</w:t>
      </w:r>
      <w:r>
        <w:rPr>
          <w:rFonts w:ascii="Times New Roman" w:eastAsia="宋体" w:hAnsi="Times New Roman"/>
          <w:sz w:val="24"/>
          <w:szCs w:val="24"/>
          <w:shd w:val="clear" w:color="auto" w:fill="FFFFFF"/>
        </w:rPr>
        <w:t>小时。</w:t>
      </w:r>
      <w:r>
        <w:rPr>
          <w:rFonts w:ascii="Times New Roman" w:eastAsia="宋体" w:hAnsi="Times New Roman" w:hint="eastAsia"/>
          <w:sz w:val="24"/>
          <w:szCs w:val="24"/>
          <w:shd w:val="clear" w:color="auto" w:fill="FFFFFF"/>
        </w:rPr>
        <w:t>国庆假期，更加巨大的车流量带来的是全国各大服务区充电桩排队时间的激增，数据显示，多地服务区假期首日充电平均排队时间突破</w:t>
      </w:r>
      <w:r>
        <w:rPr>
          <w:rFonts w:ascii="Times New Roman" w:eastAsia="宋体" w:hAnsi="Times New Roman"/>
          <w:sz w:val="24"/>
          <w:szCs w:val="24"/>
          <w:shd w:val="clear" w:color="auto" w:fill="FFFFFF"/>
        </w:rPr>
        <w:t>4</w:t>
      </w:r>
      <w:r>
        <w:rPr>
          <w:rFonts w:ascii="Times New Roman" w:eastAsia="宋体" w:hAnsi="Times New Roman" w:hint="eastAsia"/>
          <w:sz w:val="24"/>
          <w:szCs w:val="24"/>
          <w:shd w:val="clear" w:color="auto" w:fill="FFFFFF"/>
        </w:rPr>
        <w:t>小时，最高甚至逼近八小时。为解重大节假日的充电困难问题的燃眉之急，我公司提出了移动充电桩服务，通过</w:t>
      </w:r>
      <w:r>
        <w:rPr>
          <w:rFonts w:ascii="Times New Roman" w:eastAsia="宋体" w:hAnsi="Times New Roman" w:hint="eastAsia"/>
          <w:sz w:val="24"/>
          <w:szCs w:val="24"/>
          <w:shd w:val="clear" w:color="auto" w:fill="FFFFFF"/>
        </w:rPr>
        <w:t>AI</w:t>
      </w:r>
      <w:r>
        <w:rPr>
          <w:rFonts w:ascii="Times New Roman" w:eastAsia="宋体" w:hAnsi="Times New Roman" w:hint="eastAsia"/>
          <w:sz w:val="24"/>
          <w:szCs w:val="24"/>
          <w:shd w:val="clear" w:color="auto" w:fill="FFFFFF"/>
        </w:rPr>
        <w:t>预测节假日车流量与高峰期，采用</w:t>
      </w:r>
      <w:r>
        <w:rPr>
          <w:rFonts w:ascii="Times New Roman" w:eastAsia="宋体" w:hAnsi="Times New Roman" w:hint="eastAsia"/>
          <w:sz w:val="24"/>
          <w:szCs w:val="24"/>
        </w:rPr>
        <w:t>融合了最前沿的人工智能、无人驾驶、物联网及高效能充电技术的移动充电机器人，打破了传统充电桩的固定性与局限性。它不再受制于地理位置和布线成本的束缚，而是以一种全新的</w:t>
      </w:r>
      <w:r>
        <w:rPr>
          <w:rFonts w:ascii="Times New Roman" w:eastAsia="宋体" w:hAnsi="Times New Roman" w:cs="Calibri"/>
          <w:sz w:val="24"/>
          <w:szCs w:val="24"/>
        </w:rPr>
        <w:t>“</w:t>
      </w:r>
      <w:r>
        <w:rPr>
          <w:rFonts w:ascii="Times New Roman" w:eastAsia="宋体" w:hAnsi="Times New Roman" w:hint="eastAsia"/>
          <w:sz w:val="24"/>
          <w:szCs w:val="24"/>
        </w:rPr>
        <w:t>桩找车</w:t>
      </w:r>
      <w:r>
        <w:rPr>
          <w:rFonts w:ascii="Times New Roman" w:eastAsia="宋体" w:hAnsi="Times New Roman" w:cs="Calibri"/>
          <w:sz w:val="24"/>
          <w:szCs w:val="24"/>
        </w:rPr>
        <w:t>”</w:t>
      </w:r>
      <w:r>
        <w:rPr>
          <w:rFonts w:ascii="Times New Roman" w:eastAsia="宋体" w:hAnsi="Times New Roman" w:hint="eastAsia"/>
          <w:sz w:val="24"/>
          <w:szCs w:val="24"/>
        </w:rPr>
        <w:t>模式，为电动汽车用户提供即</w:t>
      </w:r>
      <w:proofErr w:type="gramStart"/>
      <w:r>
        <w:rPr>
          <w:rFonts w:ascii="Times New Roman" w:eastAsia="宋体" w:hAnsi="Times New Roman" w:hint="eastAsia"/>
          <w:sz w:val="24"/>
          <w:szCs w:val="24"/>
        </w:rPr>
        <w:t>需即充</w:t>
      </w:r>
      <w:proofErr w:type="gramEnd"/>
      <w:r>
        <w:rPr>
          <w:rFonts w:ascii="Times New Roman" w:eastAsia="宋体" w:hAnsi="Times New Roman" w:hint="eastAsia"/>
          <w:sz w:val="24"/>
          <w:szCs w:val="24"/>
        </w:rPr>
        <w:t>的极致体验。这不仅极大地提升了充电的便捷性和效率，更在根本上解决了充电桩资源分配不均和利用率低下的问题。简言之，无论是在节假日的服务区还是爆满的旅游景点门口，还是在其他各</w:t>
      </w:r>
      <w:proofErr w:type="gramStart"/>
      <w:r>
        <w:rPr>
          <w:rFonts w:ascii="Times New Roman" w:eastAsia="宋体" w:hAnsi="Times New Roman" w:hint="eastAsia"/>
          <w:sz w:val="24"/>
          <w:szCs w:val="24"/>
        </w:rPr>
        <w:t>类对于</w:t>
      </w:r>
      <w:proofErr w:type="gramEnd"/>
      <w:r>
        <w:rPr>
          <w:rFonts w:ascii="Times New Roman" w:eastAsia="宋体" w:hAnsi="Times New Roman" w:hint="eastAsia"/>
          <w:sz w:val="24"/>
          <w:szCs w:val="24"/>
        </w:rPr>
        <w:t>充电桩需求量激增的情形，我们的移动充电机器人均能在短时间内提供充足的电力以解燃眉之急。</w:t>
      </w:r>
    </w:p>
    <w:p w14:paraId="27607DF9" w14:textId="77777777" w:rsidR="006174B2" w:rsidRDefault="00000000">
      <w:pPr>
        <w:widowControl/>
        <w:spacing w:beforeLines="50" w:before="156" w:afterLines="50" w:after="156"/>
        <w:jc w:val="left"/>
        <w:outlineLvl w:val="2"/>
        <w:rPr>
          <w:rFonts w:ascii="黑体" w:eastAsia="黑体" w:hAnsi="黑体" w:cs="黑体"/>
          <w:kern w:val="0"/>
          <w:sz w:val="24"/>
          <w:szCs w:val="24"/>
        </w:rPr>
      </w:pPr>
      <w:r>
        <w:rPr>
          <w:rFonts w:ascii="黑体" w:eastAsia="黑体" w:hAnsi="黑体" w:cs="黑体" w:hint="eastAsia"/>
          <w:kern w:val="0"/>
          <w:sz w:val="24"/>
          <w:szCs w:val="24"/>
        </w:rPr>
        <w:t>3.日常充电所需的成本优化</w:t>
      </w:r>
    </w:p>
    <w:p w14:paraId="3BCD7F84" w14:textId="77777777" w:rsidR="006174B2" w:rsidRDefault="00000000">
      <w:pPr>
        <w:widowControl/>
        <w:spacing w:line="360" w:lineRule="auto"/>
        <w:ind w:firstLineChars="200" w:firstLine="480"/>
        <w:jc w:val="left"/>
        <w:rPr>
          <w:rFonts w:ascii="Times New Roman" w:eastAsia="宋体" w:hAnsi="Times New Roman" w:cs="Segoe UI"/>
          <w:kern w:val="0"/>
          <w:sz w:val="24"/>
          <w:szCs w:val="24"/>
        </w:rPr>
      </w:pPr>
      <w:r>
        <w:rPr>
          <w:rFonts w:ascii="Times New Roman" w:eastAsia="宋体" w:hAnsi="Times New Roman" w:cs="Segoe UI" w:hint="eastAsia"/>
          <w:kern w:val="0"/>
          <w:sz w:val="24"/>
          <w:szCs w:val="24"/>
        </w:rPr>
        <w:t>在极端天气与重大节假日之外，本公司也将为居民的日常充电提供定制化服务，并提供更经济实惠的价格，普惠民生。例如，公用充电桩的市场价格为</w:t>
      </w:r>
      <w:r>
        <w:rPr>
          <w:rFonts w:ascii="Times New Roman" w:eastAsia="宋体" w:hAnsi="Times New Roman" w:cs="Segoe UI" w:hint="eastAsia"/>
          <w:kern w:val="0"/>
          <w:sz w:val="24"/>
          <w:szCs w:val="24"/>
        </w:rPr>
        <w:t>0.5-0.8</w:t>
      </w:r>
      <w:r>
        <w:rPr>
          <w:rFonts w:ascii="Times New Roman" w:eastAsia="宋体" w:hAnsi="Times New Roman" w:cs="Segoe UI" w:hint="eastAsia"/>
          <w:kern w:val="0"/>
          <w:sz w:val="24"/>
          <w:szCs w:val="24"/>
        </w:rPr>
        <w:t>元</w:t>
      </w:r>
      <w:r>
        <w:rPr>
          <w:rFonts w:ascii="Times New Roman" w:eastAsia="宋体" w:hAnsi="Times New Roman" w:cs="Segoe UI" w:hint="eastAsia"/>
          <w:kern w:val="0"/>
          <w:sz w:val="24"/>
          <w:szCs w:val="24"/>
        </w:rPr>
        <w:t>/</w:t>
      </w:r>
      <w:r>
        <w:rPr>
          <w:rFonts w:ascii="Times New Roman" w:eastAsia="宋体" w:hAnsi="Times New Roman" w:cs="Segoe UI" w:hint="eastAsia"/>
          <w:kern w:val="0"/>
          <w:sz w:val="24"/>
          <w:szCs w:val="24"/>
        </w:rPr>
        <w:t>度，</w:t>
      </w:r>
      <w:r>
        <w:rPr>
          <w:rFonts w:ascii="Times New Roman" w:eastAsia="宋体" w:hAnsi="Times New Roman" w:cs="Segoe UI" w:hint="eastAsia"/>
          <w:kern w:val="0"/>
          <w:sz w:val="24"/>
          <w:szCs w:val="24"/>
        </w:rPr>
        <w:lastRenderedPageBreak/>
        <w:t>本公司将每度电的价格定为</w:t>
      </w:r>
      <w:r>
        <w:rPr>
          <w:rFonts w:ascii="Times New Roman" w:eastAsia="宋体" w:hAnsi="Times New Roman" w:cs="Segoe UI" w:hint="eastAsia"/>
          <w:kern w:val="0"/>
          <w:sz w:val="24"/>
          <w:szCs w:val="24"/>
        </w:rPr>
        <w:t>0.3</w:t>
      </w:r>
      <w:r>
        <w:rPr>
          <w:rFonts w:ascii="Times New Roman" w:eastAsia="宋体" w:hAnsi="Times New Roman" w:cs="Segoe UI" w:hint="eastAsia"/>
          <w:kern w:val="0"/>
          <w:sz w:val="24"/>
          <w:szCs w:val="24"/>
        </w:rPr>
        <w:t>元左右，让利于民，回馈社会，为经济社会的发展贡献微薄之力。</w:t>
      </w:r>
    </w:p>
    <w:p w14:paraId="55A1BE6C" w14:textId="77777777" w:rsidR="006174B2" w:rsidRDefault="00000000">
      <w:pPr>
        <w:widowControl/>
        <w:spacing w:line="360" w:lineRule="auto"/>
        <w:ind w:firstLineChars="200" w:firstLine="480"/>
        <w:jc w:val="left"/>
        <w:rPr>
          <w:rFonts w:ascii="Times New Roman" w:eastAsia="宋体" w:hAnsi="Times New Roman" w:cs="黑体"/>
          <w:kern w:val="0"/>
          <w:sz w:val="28"/>
          <w:szCs w:val="28"/>
        </w:rPr>
      </w:pPr>
      <w:r>
        <w:rPr>
          <w:rFonts w:ascii="Times New Roman" w:eastAsia="宋体" w:hAnsi="Times New Roman" w:cs="Segoe UI" w:hint="eastAsia"/>
          <w:kern w:val="0"/>
          <w:sz w:val="24"/>
          <w:szCs w:val="24"/>
        </w:rPr>
        <w:t>除此以外，可能还会有各种突发情况，导致家庭，公司或者工厂突然断电，常见原因如：电力供应故障，自然灾害，计划性检修，过载跳闸，突发事故能源，供需矛盾等种种情况，这会在短时间内对于人们的生活以及工厂的正常生产运作产生巨大的影响，极大经济损失，也对居民的日常生活造成了严重影响，造成了诸多不便。此时我们的研发产品就能够及时高效地为紧急用电的客户提供对应需求量的电源，不仅如此，我们业务的流程高效简单，我们研发的专属</w:t>
      </w:r>
      <w:r>
        <w:rPr>
          <w:rFonts w:ascii="Times New Roman" w:eastAsia="宋体" w:hAnsi="Times New Roman" w:cs="Segoe UI"/>
          <w:kern w:val="0"/>
          <w:sz w:val="24"/>
          <w:szCs w:val="24"/>
        </w:rPr>
        <w:t>app</w:t>
      </w:r>
      <w:r>
        <w:rPr>
          <w:rFonts w:ascii="Times New Roman" w:eastAsia="宋体" w:hAnsi="Times New Roman" w:cs="Segoe UI" w:hint="eastAsia"/>
          <w:kern w:val="0"/>
          <w:sz w:val="24"/>
          <w:szCs w:val="24"/>
        </w:rPr>
        <w:t>就可以让人们在遇到此类问题时，能够轻松通过</w:t>
      </w:r>
      <w:proofErr w:type="gramStart"/>
      <w:r>
        <w:rPr>
          <w:rFonts w:ascii="Times New Roman" w:eastAsia="宋体" w:hAnsi="Times New Roman" w:cs="Segoe UI" w:hint="eastAsia"/>
          <w:kern w:val="0"/>
          <w:sz w:val="24"/>
          <w:szCs w:val="24"/>
        </w:rPr>
        <w:t>手机点单寻求</w:t>
      </w:r>
      <w:proofErr w:type="gramEnd"/>
      <w:r>
        <w:rPr>
          <w:rFonts w:ascii="Times New Roman" w:eastAsia="宋体" w:hAnsi="Times New Roman" w:cs="Segoe UI" w:hint="eastAsia"/>
          <w:kern w:val="0"/>
          <w:sz w:val="24"/>
          <w:szCs w:val="24"/>
        </w:rPr>
        <w:t>“外卖”送电服务，在电力系统尚未修复的时间内得到电力的援助。</w:t>
      </w:r>
    </w:p>
    <w:p w14:paraId="39131C69" w14:textId="77777777" w:rsidR="006174B2" w:rsidRDefault="00000000">
      <w:pPr>
        <w:widowControl/>
        <w:spacing w:beforeLines="50" w:before="156" w:afterLines="50" w:after="156"/>
        <w:jc w:val="left"/>
        <w:outlineLvl w:val="1"/>
        <w:rPr>
          <w:rFonts w:ascii="黑体" w:eastAsia="黑体" w:hAnsi="黑体" w:cs="黑体"/>
          <w:kern w:val="0"/>
          <w:sz w:val="28"/>
          <w:szCs w:val="28"/>
          <w:highlight w:val="yellow"/>
        </w:rPr>
      </w:pPr>
      <w:bookmarkStart w:id="4" w:name="_Toc26485"/>
      <w:r>
        <w:rPr>
          <w:rFonts w:ascii="黑体" w:eastAsia="黑体" w:hAnsi="黑体" w:cs="黑体" w:hint="eastAsia"/>
          <w:kern w:val="0"/>
          <w:sz w:val="28"/>
          <w:szCs w:val="28"/>
        </w:rPr>
        <w:t>1.3 响应国家政策下的政企联动</w:t>
      </w:r>
      <w:bookmarkEnd w:id="4"/>
    </w:p>
    <w:p w14:paraId="2D35C68E" w14:textId="77777777" w:rsidR="006174B2" w:rsidRDefault="00000000">
      <w:pPr>
        <w:widowControl/>
        <w:shd w:val="clear" w:color="auto" w:fill="FDFDFE"/>
        <w:spacing w:line="360" w:lineRule="auto"/>
        <w:ind w:firstLineChars="200" w:firstLine="480"/>
        <w:jc w:val="left"/>
        <w:outlineLvl w:val="0"/>
        <w:rPr>
          <w:rFonts w:ascii="Times New Roman" w:eastAsia="宋体" w:hAnsi="Times New Roman" w:cs="宋体"/>
          <w:kern w:val="0"/>
          <w:sz w:val="24"/>
          <w:szCs w:val="24"/>
        </w:rPr>
      </w:pPr>
      <w:bookmarkStart w:id="5" w:name="_Toc23801"/>
      <w:bookmarkStart w:id="6" w:name="_Toc18537"/>
      <w:r>
        <w:rPr>
          <w:rFonts w:ascii="Times New Roman" w:eastAsia="宋体" w:hAnsi="Times New Roman" w:cs="宋体" w:hint="eastAsia"/>
          <w:kern w:val="0"/>
          <w:sz w:val="24"/>
          <w:szCs w:val="24"/>
        </w:rPr>
        <w:t>《中共中央关于制定国民经济和社会发展第十四个五年规划和二〇三五年远景目标的建议》中提出“系统布局新型基础设施”“建设智慧能源系统”，将能源电力行业作为“新基建”中融合基础设施建设的重点领域之一。“电力新基建”作为以新一代信息通信技术为基础，以数字化技术和互联网理念为驱动，面向智慧能源发展需要的基础设施体系，是推动能源革命、实现能源电力行业数字转型、智能升级与融合创新转型的重要手段。据公开信息显示，</w:t>
      </w:r>
      <w:r>
        <w:rPr>
          <w:rFonts w:ascii="Times New Roman" w:eastAsia="宋体" w:hAnsi="Times New Roman" w:cs="宋体" w:hint="eastAsia"/>
          <w:kern w:val="0"/>
          <w:sz w:val="24"/>
          <w:szCs w:val="24"/>
        </w:rPr>
        <w:t>2020</w:t>
      </w:r>
      <w:r>
        <w:rPr>
          <w:rFonts w:ascii="Times New Roman" w:eastAsia="宋体" w:hAnsi="Times New Roman" w:cs="宋体" w:hint="eastAsia"/>
          <w:kern w:val="0"/>
          <w:sz w:val="24"/>
          <w:szCs w:val="24"/>
        </w:rPr>
        <w:t>年至</w:t>
      </w:r>
      <w:r>
        <w:rPr>
          <w:rFonts w:ascii="Times New Roman" w:eastAsia="宋体" w:hAnsi="Times New Roman" w:cs="宋体" w:hint="eastAsia"/>
          <w:kern w:val="0"/>
          <w:sz w:val="24"/>
          <w:szCs w:val="24"/>
        </w:rPr>
        <w:t>2025</w:t>
      </w:r>
      <w:r>
        <w:rPr>
          <w:rFonts w:ascii="Times New Roman" w:eastAsia="宋体" w:hAnsi="Times New Roman" w:cs="宋体" w:hint="eastAsia"/>
          <w:kern w:val="0"/>
          <w:sz w:val="24"/>
          <w:szCs w:val="24"/>
        </w:rPr>
        <w:t>年，国家电网要基本建成具有中国特色国际领先的能源互联网企业。国家电网公司董事长毛伟明表示：“能源互联网企业’是方向，代表电网发展的更高阶段。国家电网公司发布包括电网数字化平台、能源大数据中心等十大重点建设任务，仅</w:t>
      </w:r>
      <w:r>
        <w:rPr>
          <w:rFonts w:ascii="Times New Roman" w:eastAsia="宋体" w:hAnsi="Times New Roman" w:cs="宋体" w:hint="eastAsia"/>
          <w:kern w:val="0"/>
          <w:sz w:val="24"/>
          <w:szCs w:val="24"/>
        </w:rPr>
        <w:t>2020</w:t>
      </w:r>
      <w:r>
        <w:rPr>
          <w:rFonts w:ascii="Times New Roman" w:eastAsia="宋体" w:hAnsi="Times New Roman" w:cs="宋体" w:hint="eastAsia"/>
          <w:kern w:val="0"/>
          <w:sz w:val="24"/>
          <w:szCs w:val="24"/>
        </w:rPr>
        <w:t>一年，电网与华为、阿里、腾讯、百度等多家合作伙伴投资约</w:t>
      </w:r>
      <w:r>
        <w:rPr>
          <w:rFonts w:ascii="Times New Roman" w:eastAsia="宋体" w:hAnsi="Times New Roman" w:cs="宋体" w:hint="eastAsia"/>
          <w:kern w:val="0"/>
          <w:sz w:val="24"/>
          <w:szCs w:val="24"/>
        </w:rPr>
        <w:t>247</w:t>
      </w:r>
      <w:r>
        <w:rPr>
          <w:rFonts w:ascii="Times New Roman" w:eastAsia="宋体" w:hAnsi="Times New Roman" w:cs="宋体" w:hint="eastAsia"/>
          <w:kern w:val="0"/>
          <w:sz w:val="24"/>
          <w:szCs w:val="24"/>
        </w:rPr>
        <w:t>亿元，预计拉动社会投资约</w:t>
      </w:r>
      <w:r>
        <w:rPr>
          <w:rFonts w:ascii="Times New Roman" w:eastAsia="宋体" w:hAnsi="Times New Roman" w:cs="宋体" w:hint="eastAsia"/>
          <w:kern w:val="0"/>
          <w:sz w:val="24"/>
          <w:szCs w:val="24"/>
        </w:rPr>
        <w:t>1000</w:t>
      </w:r>
      <w:r>
        <w:rPr>
          <w:rFonts w:ascii="Times New Roman" w:eastAsia="宋体" w:hAnsi="Times New Roman" w:cs="宋体" w:hint="eastAsia"/>
          <w:kern w:val="0"/>
          <w:sz w:val="24"/>
          <w:szCs w:val="24"/>
        </w:rPr>
        <w:t>亿元。政企合作已呈现出日益明显的趋势，这种合作模式不仅促进了双方的优势互补，更在推动社会进步、提升民生福祉方面发挥了重要作用。正是在这样的时代背景下，我们的应急移动储能设备和应急电力措施提供项目应运而生，以其独特的惠民惠国特性，展现出了巨大的社会效益和发展潜力。</w:t>
      </w:r>
      <w:bookmarkEnd w:id="5"/>
      <w:bookmarkEnd w:id="6"/>
    </w:p>
    <w:p w14:paraId="030F0A55" w14:textId="77777777" w:rsidR="006174B2" w:rsidRDefault="00000000">
      <w:pPr>
        <w:widowControl/>
        <w:shd w:val="clear" w:color="auto" w:fill="FDFDFE"/>
        <w:spacing w:beforeLines="50" w:before="156" w:afterLines="50" w:after="156"/>
        <w:ind w:firstLineChars="700" w:firstLine="2240"/>
        <w:outlineLvl w:val="0"/>
        <w:rPr>
          <w:rFonts w:ascii="黑体" w:eastAsia="黑体" w:hAnsi="黑体" w:cs="黑体"/>
          <w:kern w:val="0"/>
          <w:sz w:val="32"/>
          <w:szCs w:val="32"/>
        </w:rPr>
      </w:pPr>
      <w:bookmarkStart w:id="7" w:name="_Toc13057"/>
      <w:r>
        <w:rPr>
          <w:rFonts w:ascii="黑体" w:eastAsia="黑体" w:hAnsi="黑体" w:cs="黑体" w:hint="eastAsia"/>
          <w:kern w:val="0"/>
          <w:sz w:val="32"/>
          <w:szCs w:val="32"/>
        </w:rPr>
        <w:t>二、项目服务或产品效果展示</w:t>
      </w:r>
      <w:bookmarkEnd w:id="7"/>
    </w:p>
    <w:p w14:paraId="730C2310" w14:textId="77777777" w:rsidR="006174B2" w:rsidRDefault="00000000">
      <w:pPr>
        <w:widowControl/>
        <w:shd w:val="clear" w:color="auto" w:fill="FDFDFE"/>
        <w:spacing w:beforeLines="50" w:before="156" w:afterLines="50" w:after="156"/>
        <w:jc w:val="left"/>
        <w:outlineLvl w:val="1"/>
        <w:rPr>
          <w:rFonts w:ascii="黑体" w:eastAsia="黑体" w:hAnsi="黑体" w:cs="黑体"/>
          <w:kern w:val="0"/>
          <w:sz w:val="28"/>
          <w:szCs w:val="28"/>
        </w:rPr>
      </w:pPr>
      <w:bookmarkStart w:id="8" w:name="_Toc9119"/>
      <w:r>
        <w:rPr>
          <w:rFonts w:ascii="黑体" w:eastAsia="黑体" w:hAnsi="黑体" w:cs="黑体" w:hint="eastAsia"/>
          <w:kern w:val="0"/>
          <w:sz w:val="28"/>
          <w:szCs w:val="28"/>
        </w:rPr>
        <w:t>2.1 产品或服务概述</w:t>
      </w:r>
      <w:bookmarkEnd w:id="8"/>
    </w:p>
    <w:p w14:paraId="33AA01E5" w14:textId="77777777" w:rsidR="006174B2" w:rsidRDefault="00000000">
      <w:pPr>
        <w:widowControl/>
        <w:shd w:val="clear" w:color="auto" w:fill="FDFDFE"/>
        <w:spacing w:line="360" w:lineRule="auto"/>
        <w:jc w:val="left"/>
        <w:outlineLvl w:val="1"/>
        <w:rPr>
          <w:rFonts w:ascii="黑体" w:eastAsia="黑体" w:hAnsi="黑体" w:cs="黑体"/>
          <w:kern w:val="0"/>
          <w:sz w:val="24"/>
          <w:szCs w:val="24"/>
        </w:rPr>
      </w:pPr>
      <w:bookmarkStart w:id="9" w:name="_Toc32050"/>
      <w:bookmarkStart w:id="10" w:name="_Toc30288"/>
      <w:r>
        <w:rPr>
          <w:rFonts w:ascii="黑体" w:eastAsia="黑体" w:hAnsi="黑体" w:cs="黑体" w:hint="eastAsia"/>
          <w:kern w:val="0"/>
          <w:sz w:val="24"/>
          <w:szCs w:val="24"/>
        </w:rPr>
        <w:lastRenderedPageBreak/>
        <w:t>服务1：为国家电网提供极端天气情况下的电力支持，弥补电力缺口，建立长期合作关系。</w:t>
      </w:r>
    </w:p>
    <w:p w14:paraId="1C1779F2" w14:textId="77777777" w:rsidR="006174B2" w:rsidRDefault="00000000">
      <w:pPr>
        <w:widowControl/>
        <w:shd w:val="clear" w:color="auto" w:fill="FDFDFE"/>
        <w:spacing w:line="360" w:lineRule="auto"/>
        <w:ind w:firstLineChars="200" w:firstLine="480"/>
        <w:jc w:val="left"/>
        <w:outlineLvl w:val="1"/>
        <w:rPr>
          <w:rFonts w:ascii="宋体" w:eastAsia="宋体" w:hAnsi="宋体" w:cs="宋体"/>
          <w:kern w:val="0"/>
          <w:sz w:val="24"/>
          <w:szCs w:val="24"/>
        </w:rPr>
      </w:pPr>
      <w:r>
        <w:rPr>
          <w:rFonts w:ascii="宋体" w:eastAsia="宋体" w:hAnsi="宋体" w:cs="宋体" w:hint="eastAsia"/>
          <w:kern w:val="0"/>
          <w:sz w:val="24"/>
          <w:szCs w:val="24"/>
        </w:rPr>
        <w:t>在</w:t>
      </w:r>
      <w:bookmarkStart w:id="11" w:name="_Hlk162105985"/>
      <w:r>
        <w:rPr>
          <w:rFonts w:ascii="宋体" w:eastAsia="宋体" w:hAnsi="宋体" w:cs="宋体" w:hint="eastAsia"/>
          <w:kern w:val="0"/>
          <w:sz w:val="24"/>
          <w:szCs w:val="24"/>
        </w:rPr>
        <w:t>极端天气下，如暴雨、暴风雪、高温干旱等自然灾害发生时，电力系统往往会受到严重冲击，导</w:t>
      </w:r>
      <w:bookmarkEnd w:id="11"/>
      <w:r>
        <w:rPr>
          <w:rFonts w:ascii="宋体" w:eastAsia="宋体" w:hAnsi="宋体" w:cs="宋体" w:hint="eastAsia"/>
          <w:kern w:val="0"/>
          <w:sz w:val="24"/>
          <w:szCs w:val="24"/>
        </w:rPr>
        <w:t>致停电或电力供应不稳定。这时，我们的移动供电资源就发挥了重要作用。</w:t>
      </w:r>
      <w:proofErr w:type="gramStart"/>
      <w:r>
        <w:rPr>
          <w:rFonts w:ascii="宋体" w:eastAsia="宋体" w:hAnsi="宋体" w:cs="宋体" w:hint="eastAsia"/>
          <w:kern w:val="0"/>
          <w:sz w:val="24"/>
          <w:szCs w:val="24"/>
        </w:rPr>
        <w:t>我们会举全</w:t>
      </w:r>
      <w:proofErr w:type="gramEnd"/>
      <w:r>
        <w:rPr>
          <w:rFonts w:ascii="宋体" w:eastAsia="宋体" w:hAnsi="宋体" w:cs="宋体" w:hint="eastAsia"/>
          <w:kern w:val="0"/>
          <w:sz w:val="24"/>
          <w:szCs w:val="24"/>
        </w:rPr>
        <w:t>公司之力迅速调集所有可用的移动供电设备，包括移动充电机器人和大型应急移动储能设备，前往受灾区，为国家电网或其他需要电力支持的机构提供服务。这些设备不仅可以在短时间内恢复电力供应，还可以为救援工作提供必要的电力保障，帮助受灾地区尽快恢复正常生活秩序。</w:t>
      </w:r>
      <w:bookmarkEnd w:id="9"/>
      <w:bookmarkEnd w:id="10"/>
    </w:p>
    <w:p w14:paraId="4BAE04E4" w14:textId="77777777" w:rsidR="006174B2" w:rsidRDefault="00000000">
      <w:pPr>
        <w:widowControl/>
        <w:shd w:val="clear" w:color="auto" w:fill="FDFDFE"/>
        <w:spacing w:line="360" w:lineRule="auto"/>
        <w:jc w:val="left"/>
        <w:outlineLvl w:val="1"/>
        <w:rPr>
          <w:rFonts w:ascii="黑体" w:eastAsia="黑体" w:hAnsi="黑体" w:cs="黑体"/>
          <w:kern w:val="0"/>
          <w:sz w:val="24"/>
          <w:szCs w:val="24"/>
        </w:rPr>
      </w:pPr>
      <w:bookmarkStart w:id="12" w:name="_Toc29552"/>
      <w:bookmarkStart w:id="13" w:name="_Toc23185"/>
      <w:r>
        <w:rPr>
          <w:rFonts w:ascii="黑体" w:eastAsia="黑体" w:hAnsi="黑体" w:cs="黑体" w:hint="eastAsia"/>
          <w:kern w:val="0"/>
          <w:sz w:val="24"/>
          <w:szCs w:val="24"/>
        </w:rPr>
        <w:t>服务2：假日期间提供高效便捷的移动电车充电服务。</w:t>
      </w:r>
    </w:p>
    <w:p w14:paraId="6DFE7FB5" w14:textId="77777777" w:rsidR="006174B2" w:rsidRDefault="00000000">
      <w:pPr>
        <w:widowControl/>
        <w:shd w:val="clear" w:color="auto" w:fill="FDFDFE"/>
        <w:spacing w:line="360" w:lineRule="auto"/>
        <w:ind w:firstLineChars="200" w:firstLine="480"/>
        <w:jc w:val="left"/>
        <w:outlineLvl w:val="1"/>
        <w:rPr>
          <w:rFonts w:ascii="宋体" w:eastAsia="宋体" w:hAnsi="宋体" w:cs="Segoe UI"/>
          <w:kern w:val="0"/>
          <w:sz w:val="24"/>
          <w:szCs w:val="24"/>
        </w:rPr>
      </w:pPr>
      <w:r>
        <w:rPr>
          <w:rFonts w:ascii="宋体" w:eastAsia="宋体" w:hAnsi="宋体" w:cs="Segoe UI"/>
          <w:kern w:val="0"/>
          <w:sz w:val="24"/>
          <w:szCs w:val="24"/>
        </w:rPr>
        <w:t>在节假日高峰期，出行人数激增，用电需求也相应增加。这时，我们会向用电高峰地段部署移动供电资源，确保电力供应的稳定性和可靠性。通过我们的移动供电解决方案，可以有效缓解电力供应压力，避免因电力短缺而影响人们的正常生活和出行</w:t>
      </w:r>
      <w:bookmarkEnd w:id="12"/>
      <w:bookmarkEnd w:id="13"/>
    </w:p>
    <w:p w14:paraId="57763DA3" w14:textId="77777777" w:rsidR="006174B2" w:rsidRDefault="00000000">
      <w:pPr>
        <w:widowControl/>
        <w:shd w:val="clear" w:color="auto" w:fill="FDFDFE"/>
        <w:spacing w:line="360" w:lineRule="auto"/>
        <w:jc w:val="left"/>
        <w:outlineLvl w:val="1"/>
        <w:rPr>
          <w:rFonts w:ascii="宋体" w:eastAsia="宋体" w:hAnsi="宋体" w:cs="Segoe UI"/>
          <w:b/>
          <w:bCs/>
          <w:kern w:val="0"/>
          <w:sz w:val="24"/>
          <w:szCs w:val="24"/>
        </w:rPr>
      </w:pPr>
      <w:bookmarkStart w:id="14" w:name="_Toc31493"/>
      <w:bookmarkStart w:id="15" w:name="_Toc23030"/>
      <w:r>
        <w:rPr>
          <w:rFonts w:ascii="宋体" w:eastAsia="宋体" w:hAnsi="宋体" w:cs="Segoe UI" w:hint="eastAsia"/>
          <w:b/>
          <w:bCs/>
          <w:kern w:val="0"/>
          <w:sz w:val="24"/>
          <w:szCs w:val="24"/>
        </w:rPr>
        <w:t>服务3：在平时采取薄利多销策略，提供常态化充电服务。</w:t>
      </w:r>
    </w:p>
    <w:p w14:paraId="6E276BDB" w14:textId="77777777" w:rsidR="006174B2" w:rsidRDefault="00000000">
      <w:pPr>
        <w:widowControl/>
        <w:shd w:val="clear" w:color="auto" w:fill="FDFDFE"/>
        <w:spacing w:line="360" w:lineRule="auto"/>
        <w:ind w:firstLineChars="200" w:firstLine="480"/>
        <w:jc w:val="left"/>
        <w:outlineLvl w:val="1"/>
        <w:rPr>
          <w:rFonts w:ascii="宋体" w:eastAsia="宋体" w:hAnsi="宋体" w:cs="Segoe UI"/>
          <w:kern w:val="0"/>
          <w:sz w:val="24"/>
          <w:szCs w:val="24"/>
        </w:rPr>
      </w:pPr>
      <w:r>
        <w:rPr>
          <w:rFonts w:ascii="宋体" w:eastAsia="宋体" w:hAnsi="宋体" w:cs="Segoe UI"/>
          <w:kern w:val="0"/>
          <w:sz w:val="24"/>
          <w:szCs w:val="24"/>
        </w:rPr>
        <w:t>除了应对极端天气和节假日高峰期的电力需求，我们还在平时采取薄利多销的策略，通过提供优质的服务和合理的价格，吸引更多客户。我们深知，只有赢得客户的信任和满意，才能在激烈的市场竞争中立于不败之地。</w:t>
      </w:r>
      <w:bookmarkEnd w:id="14"/>
      <w:bookmarkEnd w:id="15"/>
    </w:p>
    <w:p w14:paraId="7961A1FF" w14:textId="77777777" w:rsidR="006174B2" w:rsidRDefault="00000000">
      <w:pPr>
        <w:widowControl/>
        <w:shd w:val="clear" w:color="auto" w:fill="FDFDFE"/>
        <w:spacing w:beforeLines="50" w:before="156" w:afterLines="50" w:after="156"/>
        <w:jc w:val="left"/>
        <w:outlineLvl w:val="1"/>
        <w:rPr>
          <w:rFonts w:ascii="黑体" w:eastAsia="黑体" w:hAnsi="黑体" w:cs="黑体"/>
          <w:kern w:val="0"/>
          <w:sz w:val="28"/>
          <w:szCs w:val="28"/>
        </w:rPr>
      </w:pPr>
      <w:bookmarkStart w:id="16" w:name="_Toc19315"/>
      <w:r>
        <w:rPr>
          <w:rFonts w:ascii="黑体" w:eastAsia="黑体" w:hAnsi="黑体" w:cs="黑体" w:hint="eastAsia"/>
          <w:kern w:val="0"/>
          <w:sz w:val="28"/>
          <w:szCs w:val="28"/>
        </w:rPr>
        <w:t>2.2 产品价格定位</w:t>
      </w:r>
      <w:bookmarkEnd w:id="16"/>
    </w:p>
    <w:p w14:paraId="3190B424" w14:textId="77777777" w:rsidR="006174B2" w:rsidRDefault="00000000">
      <w:pPr>
        <w:widowControl/>
        <w:shd w:val="clear" w:color="auto" w:fill="FDFDFE"/>
        <w:spacing w:line="360" w:lineRule="auto"/>
        <w:ind w:firstLineChars="200" w:firstLine="480"/>
        <w:jc w:val="left"/>
        <w:rPr>
          <w:rFonts w:ascii="Segoe UI" w:eastAsia="宋体" w:hAnsi="Segoe UI" w:cs="Segoe UI"/>
          <w:kern w:val="0"/>
          <w:sz w:val="24"/>
          <w:szCs w:val="24"/>
        </w:rPr>
      </w:pPr>
      <w:r>
        <w:rPr>
          <w:rFonts w:ascii="Segoe UI" w:eastAsia="宋体" w:hAnsi="Segoe UI" w:cs="Segoe UI"/>
          <w:kern w:val="0"/>
          <w:sz w:val="24"/>
          <w:szCs w:val="24"/>
        </w:rPr>
        <w:t>关于这三种服务的价位，我们进行了细致的划分，以确保在不同情境下都能提供合理且优质的服务。</w:t>
      </w:r>
    </w:p>
    <w:p w14:paraId="175B9056" w14:textId="77777777" w:rsidR="006174B2" w:rsidRDefault="00000000">
      <w:pPr>
        <w:widowControl/>
        <w:shd w:val="clear" w:color="auto" w:fill="FDFDFE"/>
        <w:spacing w:line="360" w:lineRule="auto"/>
        <w:ind w:firstLineChars="200" w:firstLine="480"/>
        <w:jc w:val="left"/>
        <w:rPr>
          <w:rFonts w:ascii="Segoe UI" w:eastAsia="宋体" w:hAnsi="Segoe UI" w:cs="Segoe UI"/>
          <w:kern w:val="0"/>
          <w:sz w:val="24"/>
          <w:szCs w:val="24"/>
        </w:rPr>
      </w:pPr>
      <w:r>
        <w:rPr>
          <w:rFonts w:ascii="Segoe UI" w:eastAsia="宋体" w:hAnsi="Segoe UI" w:cs="Segoe UI"/>
          <w:kern w:val="0"/>
          <w:sz w:val="24"/>
          <w:szCs w:val="24"/>
        </w:rPr>
        <w:t>首先，针对极端天气下的供电服务，我们确实设定了相对较高的价格。这并不是出于投机倒把的目的，而是基于实际情况的考虑。在极端天气条件下，供电难度和成本都会大幅增加，我们需要举全公司之力，调配资源，确保供电服务的及时性和稳定性。这样的定价不仅是为了覆盖我们的运营成本，更是为了体现我们对社会责任的担当。我们坚信，在极端天气下，能够为受影响的地区提供稳定的电力支持，是对社会最大的贡献。</w:t>
      </w:r>
    </w:p>
    <w:p w14:paraId="2EBD031E" w14:textId="77777777" w:rsidR="006174B2" w:rsidRDefault="00000000">
      <w:pPr>
        <w:widowControl/>
        <w:shd w:val="clear" w:color="auto" w:fill="FDFDFE"/>
        <w:spacing w:line="360" w:lineRule="auto"/>
        <w:ind w:firstLineChars="200" w:firstLine="480"/>
        <w:jc w:val="left"/>
        <w:rPr>
          <w:rFonts w:ascii="Segoe UI" w:eastAsia="宋体" w:hAnsi="Segoe UI" w:cs="Segoe UI"/>
          <w:kern w:val="0"/>
          <w:sz w:val="24"/>
          <w:szCs w:val="24"/>
        </w:rPr>
      </w:pPr>
      <w:r>
        <w:rPr>
          <w:rFonts w:ascii="Segoe UI" w:eastAsia="宋体" w:hAnsi="Segoe UI" w:cs="Segoe UI"/>
          <w:kern w:val="0"/>
          <w:sz w:val="24"/>
          <w:szCs w:val="24"/>
        </w:rPr>
        <w:t>其次，在节假日等高峰时间段，我们的用电价格会略高于普通充电桩。这主要是因为我们拥有强大的算法和优质的服务。我们的算法能够精确预测用电需求，确保在高峰时段能够满足大量用户的用电需求。同时，我们的服务团队也会全天候待命，确</w:t>
      </w:r>
      <w:r>
        <w:rPr>
          <w:rFonts w:ascii="Segoe UI" w:eastAsia="宋体" w:hAnsi="Segoe UI" w:cs="Segoe UI"/>
          <w:kern w:val="0"/>
          <w:sz w:val="24"/>
          <w:szCs w:val="24"/>
        </w:rPr>
        <w:lastRenderedPageBreak/>
        <w:t>保供电设备的正常运行和及时维护。这样的定价策略既体现了我们的服务价值，也确保了我们在高峰时段能够为用户提供稳定、高效的供电服务。</w:t>
      </w:r>
    </w:p>
    <w:p w14:paraId="242D6181" w14:textId="77777777" w:rsidR="006174B2" w:rsidRDefault="00000000">
      <w:pPr>
        <w:widowControl/>
        <w:shd w:val="clear" w:color="auto" w:fill="FDFDFE"/>
        <w:spacing w:line="360" w:lineRule="auto"/>
        <w:ind w:firstLineChars="200" w:firstLine="480"/>
        <w:jc w:val="left"/>
        <w:rPr>
          <w:rFonts w:ascii="Segoe UI" w:eastAsia="宋体" w:hAnsi="Segoe UI" w:cs="Segoe UI"/>
          <w:kern w:val="0"/>
          <w:sz w:val="24"/>
          <w:szCs w:val="24"/>
        </w:rPr>
      </w:pPr>
      <w:r>
        <w:rPr>
          <w:rFonts w:ascii="Segoe UI" w:eastAsia="宋体" w:hAnsi="Segoe UI" w:cs="Segoe UI"/>
          <w:kern w:val="0"/>
          <w:sz w:val="24"/>
          <w:szCs w:val="24"/>
        </w:rPr>
        <w:t>最后，在平时普通时间段，我们的价格会低于同行，实行薄利多销的策略。一度电的价格大约在三毛钱左右，这样的定价旨在吸引更多的用户使用我们的服务。我们相信，通过提供优质的供电服务和合理的价格，能够赢得用户的信任和喜爱。同时，通过扩大用户基数，我们也能够进一步降低运营成本，实现可持续发展</w:t>
      </w:r>
      <w:r>
        <w:rPr>
          <w:rFonts w:ascii="Segoe UI" w:eastAsia="宋体" w:hAnsi="Segoe UI" w:cs="Segoe UI" w:hint="eastAsia"/>
          <w:kern w:val="0"/>
          <w:sz w:val="24"/>
          <w:szCs w:val="24"/>
        </w:rPr>
        <w:t>。</w:t>
      </w:r>
    </w:p>
    <w:p w14:paraId="7C024FE7" w14:textId="77777777" w:rsidR="006174B2" w:rsidRDefault="00000000">
      <w:pPr>
        <w:widowControl/>
        <w:shd w:val="clear" w:color="auto" w:fill="FDFDFE"/>
        <w:spacing w:line="360" w:lineRule="auto"/>
        <w:ind w:firstLineChars="200" w:firstLine="480"/>
        <w:jc w:val="left"/>
        <w:rPr>
          <w:rFonts w:ascii="Segoe UI" w:eastAsia="宋体" w:hAnsi="Segoe UI" w:cs="Segoe UI"/>
          <w:kern w:val="0"/>
          <w:sz w:val="24"/>
          <w:szCs w:val="24"/>
        </w:rPr>
      </w:pPr>
      <w:r>
        <w:rPr>
          <w:rFonts w:ascii="Segoe UI" w:eastAsia="宋体" w:hAnsi="Segoe UI" w:cs="Segoe UI"/>
          <w:kern w:val="0"/>
          <w:sz w:val="24"/>
          <w:szCs w:val="24"/>
        </w:rPr>
        <w:t>总的来说，我们的定价策略是根据不同情境下的服务成本和用户需求来制定的。我们始终坚持以质量取胜的原则，通过提供优质的服务和合理的价格，赢得用户的信赖和支持。无论是极端天气下的供电服务，还是节假日高峰时段的用电服务，</w:t>
      </w:r>
      <w:proofErr w:type="gramStart"/>
      <w:r>
        <w:rPr>
          <w:rFonts w:ascii="Segoe UI" w:eastAsia="宋体" w:hAnsi="Segoe UI" w:cs="Segoe UI"/>
          <w:kern w:val="0"/>
          <w:sz w:val="24"/>
          <w:szCs w:val="24"/>
        </w:rPr>
        <w:t>亦或</w:t>
      </w:r>
      <w:proofErr w:type="gramEnd"/>
      <w:r>
        <w:rPr>
          <w:rFonts w:ascii="Segoe UI" w:eastAsia="宋体" w:hAnsi="Segoe UI" w:cs="Segoe UI"/>
          <w:kern w:val="0"/>
          <w:sz w:val="24"/>
          <w:szCs w:val="24"/>
        </w:rPr>
        <w:t>是平时普通时间段的供电服务，我们都会全力以赴，为用户提供最满意的服务体验。</w:t>
      </w:r>
    </w:p>
    <w:p w14:paraId="7FC03A0A" w14:textId="77777777" w:rsidR="006174B2" w:rsidRDefault="00000000">
      <w:pPr>
        <w:widowControl/>
        <w:shd w:val="clear" w:color="auto" w:fill="FDFDFE"/>
        <w:spacing w:beforeLines="50" w:before="156" w:afterLines="50" w:after="156"/>
        <w:jc w:val="left"/>
        <w:outlineLvl w:val="1"/>
        <w:rPr>
          <w:rFonts w:ascii="黑体" w:eastAsia="黑体" w:hAnsi="黑体" w:cs="黑体"/>
          <w:kern w:val="0"/>
          <w:sz w:val="28"/>
          <w:szCs w:val="28"/>
        </w:rPr>
      </w:pPr>
      <w:bookmarkStart w:id="17" w:name="_Toc14461"/>
      <w:r>
        <w:rPr>
          <w:rFonts w:ascii="黑体" w:eastAsia="黑体" w:hAnsi="黑体" w:cs="黑体" w:hint="eastAsia"/>
          <w:kern w:val="0"/>
          <w:sz w:val="28"/>
          <w:szCs w:val="28"/>
        </w:rPr>
        <w:t>2.3 技术原理分析</w:t>
      </w:r>
      <w:bookmarkEnd w:id="17"/>
      <w:r>
        <w:rPr>
          <w:rFonts w:ascii="黑体" w:eastAsia="黑体" w:hAnsi="黑体" w:cs="黑体" w:hint="eastAsia"/>
          <w:kern w:val="0"/>
          <w:sz w:val="28"/>
          <w:szCs w:val="28"/>
        </w:rPr>
        <w:t xml:space="preserve">   </w:t>
      </w:r>
    </w:p>
    <w:p w14:paraId="0C7F8BD8" w14:textId="77777777" w:rsidR="006174B2" w:rsidRDefault="00000000">
      <w:pPr>
        <w:widowControl/>
        <w:shd w:val="clear" w:color="auto" w:fill="FDFDFE"/>
        <w:spacing w:line="360" w:lineRule="auto"/>
        <w:ind w:firstLineChars="200" w:firstLine="480"/>
        <w:jc w:val="left"/>
        <w:rPr>
          <w:rFonts w:ascii="Times New Roman" w:eastAsia="宋体" w:hAnsi="Times New Roman" w:cs="Segoe UI"/>
          <w:kern w:val="0"/>
          <w:sz w:val="24"/>
          <w:szCs w:val="24"/>
        </w:rPr>
      </w:pPr>
      <w:r>
        <w:rPr>
          <w:rFonts w:ascii="Times New Roman" w:eastAsia="宋体" w:hAnsi="Times New Roman" w:cs="Segoe UI" w:hint="eastAsia"/>
          <w:kern w:val="0"/>
          <w:sz w:val="24"/>
          <w:szCs w:val="24"/>
        </w:rPr>
        <w:t>在构建这一综合系统时，我们采用了多种先进的技术原理，以确保</w:t>
      </w:r>
      <w:r>
        <w:rPr>
          <w:rFonts w:ascii="Times New Roman" w:eastAsia="宋体" w:hAnsi="Times New Roman" w:cs="Segoe UI"/>
          <w:kern w:val="0"/>
          <w:sz w:val="24"/>
          <w:szCs w:val="24"/>
        </w:rPr>
        <w:t>AI</w:t>
      </w:r>
      <w:r>
        <w:rPr>
          <w:rFonts w:ascii="Times New Roman" w:eastAsia="宋体" w:hAnsi="Times New Roman" w:cs="Segoe UI"/>
          <w:kern w:val="0"/>
          <w:sz w:val="24"/>
          <w:szCs w:val="24"/>
        </w:rPr>
        <w:t>能够准确预测台风路径、地点、来去停留，评估用电量损失，支持周围站点算法，以及优化节假日和日常某段时间的车辆出行与充电安排。以下是各部分原理的详细介绍：</w:t>
      </w:r>
    </w:p>
    <w:p w14:paraId="14249AD7" w14:textId="77777777" w:rsidR="006174B2" w:rsidRDefault="00000000">
      <w:pPr>
        <w:widowControl/>
        <w:shd w:val="clear" w:color="auto" w:fill="FDFDFE"/>
        <w:spacing w:line="360" w:lineRule="auto"/>
        <w:jc w:val="left"/>
        <w:rPr>
          <w:rFonts w:ascii="黑体" w:eastAsia="黑体" w:hAnsi="黑体" w:cs="黑体"/>
          <w:kern w:val="0"/>
          <w:sz w:val="24"/>
          <w:szCs w:val="24"/>
        </w:rPr>
      </w:pPr>
      <w:r>
        <w:rPr>
          <w:rFonts w:ascii="黑体" w:eastAsia="黑体" w:hAnsi="黑体" w:cs="黑体" w:hint="eastAsia"/>
          <w:kern w:val="0"/>
          <w:sz w:val="24"/>
          <w:szCs w:val="24"/>
        </w:rPr>
        <w:t>核心技术1：AI预测台风路径地点与停留时间</w:t>
      </w:r>
    </w:p>
    <w:p w14:paraId="5B54D483" w14:textId="77777777" w:rsidR="006174B2" w:rsidRDefault="00000000">
      <w:pPr>
        <w:widowControl/>
        <w:shd w:val="clear" w:color="auto" w:fill="FDFDFE"/>
        <w:spacing w:line="360" w:lineRule="auto"/>
        <w:ind w:firstLineChars="200" w:firstLine="480"/>
        <w:jc w:val="left"/>
        <w:rPr>
          <w:rFonts w:ascii="Times New Roman" w:eastAsia="宋体" w:hAnsi="Times New Roman" w:cs="Segoe UI"/>
          <w:kern w:val="0"/>
          <w:sz w:val="24"/>
          <w:szCs w:val="24"/>
        </w:rPr>
      </w:pPr>
      <w:r>
        <w:rPr>
          <w:rFonts w:ascii="Times New Roman" w:eastAsia="宋体" w:hAnsi="Times New Roman" w:cs="Segoe UI" w:hint="eastAsia"/>
          <w:kern w:val="0"/>
          <w:sz w:val="24"/>
          <w:szCs w:val="24"/>
        </w:rPr>
        <w:t>首先进行</w:t>
      </w:r>
      <w:r>
        <w:rPr>
          <w:rFonts w:ascii="Times New Roman" w:eastAsia="宋体" w:hAnsi="Times New Roman" w:cs="Segoe UI"/>
          <w:kern w:val="0"/>
          <w:sz w:val="24"/>
          <w:szCs w:val="24"/>
        </w:rPr>
        <w:t>数据收集与整合</w:t>
      </w:r>
      <w:r>
        <w:rPr>
          <w:rFonts w:ascii="Times New Roman" w:eastAsia="宋体" w:hAnsi="Times New Roman" w:cs="Segoe UI" w:hint="eastAsia"/>
          <w:kern w:val="0"/>
          <w:sz w:val="24"/>
          <w:szCs w:val="24"/>
        </w:rPr>
        <w:t>，</w:t>
      </w:r>
      <w:r>
        <w:rPr>
          <w:rFonts w:ascii="Times New Roman" w:eastAsia="宋体" w:hAnsi="Times New Roman" w:cs="Segoe UI"/>
          <w:kern w:val="0"/>
          <w:sz w:val="24"/>
          <w:szCs w:val="24"/>
        </w:rPr>
        <w:t>AI</w:t>
      </w:r>
      <w:r>
        <w:rPr>
          <w:rFonts w:ascii="Times New Roman" w:eastAsia="宋体" w:hAnsi="Times New Roman" w:cs="Segoe UI"/>
          <w:kern w:val="0"/>
          <w:sz w:val="24"/>
          <w:szCs w:val="24"/>
        </w:rPr>
        <w:t>系统首先收集大量的气象数据，包括卫星图像、气象雷达数据、地面观测数据等。这些数据经过清洗和整合后，形成用于预测的基础数据集。</w:t>
      </w:r>
      <w:r>
        <w:rPr>
          <w:rFonts w:ascii="Times New Roman" w:eastAsia="宋体" w:hAnsi="Times New Roman" w:cs="Segoe UI" w:hint="eastAsia"/>
          <w:kern w:val="0"/>
          <w:sz w:val="24"/>
          <w:szCs w:val="24"/>
        </w:rPr>
        <w:t>同时搭建</w:t>
      </w:r>
      <w:r>
        <w:rPr>
          <w:rFonts w:ascii="Times New Roman" w:eastAsia="宋体" w:hAnsi="Times New Roman" w:cs="Segoe UI"/>
          <w:kern w:val="0"/>
          <w:sz w:val="24"/>
          <w:szCs w:val="24"/>
        </w:rPr>
        <w:t>深度学习</w:t>
      </w:r>
      <w:r>
        <w:rPr>
          <w:rFonts w:ascii="Times New Roman" w:eastAsia="宋体" w:hAnsi="Times New Roman" w:cs="Segoe UI" w:hint="eastAsia"/>
          <w:kern w:val="0"/>
          <w:sz w:val="24"/>
          <w:szCs w:val="24"/>
        </w:rPr>
        <w:t>网络。利用深度学习技术，构建复杂的神经网络模型，对台风的形成、发展和移动进行模拟和预测。这些模型能够学习台风的历史路径和气象条件之间的关系，从而预测未来的台风路径和强度。神经网络参数</w:t>
      </w:r>
      <w:r>
        <w:rPr>
          <w:rFonts w:ascii="Times New Roman" w:eastAsia="宋体" w:hAnsi="Times New Roman" w:cs="Segoe UI"/>
          <w:kern w:val="0"/>
          <w:sz w:val="24"/>
          <w:szCs w:val="24"/>
        </w:rPr>
        <w:t>动态更新与修正</w:t>
      </w:r>
      <w:r>
        <w:rPr>
          <w:rFonts w:ascii="Times New Roman" w:eastAsia="宋体" w:hAnsi="Times New Roman" w:cs="Segoe UI" w:hint="eastAsia"/>
          <w:kern w:val="0"/>
          <w:sz w:val="24"/>
          <w:szCs w:val="24"/>
        </w:rPr>
        <w:t>。随着新的气象数据的不断输入，</w:t>
      </w:r>
      <w:r>
        <w:rPr>
          <w:rFonts w:ascii="Times New Roman" w:eastAsia="宋体" w:hAnsi="Times New Roman" w:cs="Segoe UI"/>
          <w:kern w:val="0"/>
          <w:sz w:val="24"/>
          <w:szCs w:val="24"/>
        </w:rPr>
        <w:t>AI</w:t>
      </w:r>
      <w:r>
        <w:rPr>
          <w:rFonts w:ascii="Times New Roman" w:eastAsia="宋体" w:hAnsi="Times New Roman" w:cs="Segoe UI"/>
          <w:kern w:val="0"/>
          <w:sz w:val="24"/>
          <w:szCs w:val="24"/>
        </w:rPr>
        <w:t>模型能够实时更新预测结果，以应对台风路径的不确定性。同时，模型还会根据实时的观测数据对预测结果进行修正，提高预测的准确性。</w:t>
      </w:r>
    </w:p>
    <w:p w14:paraId="60699E73" w14:textId="77777777" w:rsidR="006174B2" w:rsidRDefault="00000000">
      <w:pPr>
        <w:widowControl/>
        <w:shd w:val="clear" w:color="auto" w:fill="FDFDFE"/>
        <w:spacing w:line="360" w:lineRule="auto"/>
        <w:jc w:val="left"/>
        <w:rPr>
          <w:rFonts w:ascii="黑体" w:eastAsia="黑体" w:hAnsi="黑体" w:cs="黑体"/>
          <w:kern w:val="0"/>
          <w:sz w:val="24"/>
          <w:szCs w:val="24"/>
        </w:rPr>
      </w:pPr>
      <w:r>
        <w:rPr>
          <w:rFonts w:ascii="黑体" w:eastAsia="黑体" w:hAnsi="黑体" w:cs="黑体" w:hint="eastAsia"/>
          <w:kern w:val="0"/>
          <w:sz w:val="24"/>
          <w:szCs w:val="24"/>
        </w:rPr>
        <w:t>核心技术2：利用大规模神经网络评估极端天气下用电量缺口</w:t>
      </w:r>
    </w:p>
    <w:p w14:paraId="4EF07B17" w14:textId="77777777" w:rsidR="006174B2" w:rsidRDefault="00000000">
      <w:pPr>
        <w:widowControl/>
        <w:shd w:val="clear" w:color="auto" w:fill="FDFDFE"/>
        <w:spacing w:line="360" w:lineRule="auto"/>
        <w:ind w:firstLineChars="200" w:firstLine="480"/>
        <w:jc w:val="left"/>
        <w:rPr>
          <w:rFonts w:ascii="Times New Roman" w:eastAsia="宋体" w:hAnsi="Times New Roman" w:cs="Segoe UI"/>
          <w:kern w:val="0"/>
          <w:sz w:val="24"/>
          <w:szCs w:val="24"/>
        </w:rPr>
      </w:pPr>
      <w:r>
        <w:rPr>
          <w:rFonts w:ascii="Times New Roman" w:eastAsia="宋体" w:hAnsi="Times New Roman" w:cs="Segoe UI" w:hint="eastAsia"/>
          <w:kern w:val="0"/>
          <w:sz w:val="24"/>
          <w:szCs w:val="24"/>
        </w:rPr>
        <w:t>首先进行，</w:t>
      </w:r>
      <w:r>
        <w:rPr>
          <w:rFonts w:ascii="Times New Roman" w:eastAsia="宋体" w:hAnsi="Times New Roman" w:cs="Segoe UI"/>
          <w:kern w:val="0"/>
          <w:sz w:val="24"/>
          <w:szCs w:val="24"/>
        </w:rPr>
        <w:t>台风</w:t>
      </w:r>
      <w:r>
        <w:rPr>
          <w:rFonts w:ascii="Times New Roman" w:eastAsia="宋体" w:hAnsi="Times New Roman" w:cs="Segoe UI" w:hint="eastAsia"/>
          <w:kern w:val="0"/>
          <w:sz w:val="24"/>
          <w:szCs w:val="24"/>
        </w:rPr>
        <w:t>破坏性</w:t>
      </w:r>
      <w:r>
        <w:rPr>
          <w:rFonts w:ascii="Times New Roman" w:eastAsia="宋体" w:hAnsi="Times New Roman" w:cs="Segoe UI"/>
          <w:kern w:val="0"/>
          <w:sz w:val="24"/>
          <w:szCs w:val="24"/>
        </w:rPr>
        <w:t>分析</w:t>
      </w:r>
      <w:r>
        <w:rPr>
          <w:rFonts w:ascii="Times New Roman" w:eastAsia="宋体" w:hAnsi="Times New Roman" w:cs="Segoe UI" w:hint="eastAsia"/>
          <w:kern w:val="0"/>
          <w:sz w:val="24"/>
          <w:szCs w:val="24"/>
        </w:rPr>
        <w:t>结合台风的预测路径和强度，分析其对电网设施可能造成的破坏和影响。这包括评估台风可能导致的线路故障、变电站停运等情况。</w:t>
      </w:r>
      <w:r>
        <w:rPr>
          <w:rFonts w:ascii="Times New Roman" w:eastAsia="宋体" w:hAnsi="Times New Roman" w:cs="Segoe UI"/>
          <w:kern w:val="0"/>
          <w:sz w:val="24"/>
          <w:szCs w:val="24"/>
        </w:rPr>
        <w:t>用电量历史数据分析</w:t>
      </w:r>
      <w:r>
        <w:rPr>
          <w:rFonts w:ascii="Times New Roman" w:eastAsia="宋体" w:hAnsi="Times New Roman" w:cs="Segoe UI" w:hint="eastAsia"/>
          <w:kern w:val="0"/>
          <w:sz w:val="24"/>
          <w:szCs w:val="24"/>
        </w:rPr>
        <w:t>，利用历史用电量数据，分析台风期间各区域的用电量变化情况。这有助于预测台风对不同区域用电量的影响程度。</w:t>
      </w:r>
      <w:r>
        <w:rPr>
          <w:rFonts w:ascii="Times New Roman" w:eastAsia="宋体" w:hAnsi="Times New Roman" w:cs="Segoe UI"/>
          <w:kern w:val="0"/>
          <w:sz w:val="24"/>
          <w:szCs w:val="24"/>
        </w:rPr>
        <w:t>损失评估模型</w:t>
      </w:r>
      <w:r>
        <w:rPr>
          <w:rFonts w:ascii="Times New Roman" w:eastAsia="宋体" w:hAnsi="Times New Roman" w:cs="Segoe UI" w:hint="eastAsia"/>
          <w:kern w:val="0"/>
          <w:sz w:val="24"/>
          <w:szCs w:val="24"/>
        </w:rPr>
        <w:t>，基于台风影响分析和</w:t>
      </w:r>
      <w:r>
        <w:rPr>
          <w:rFonts w:ascii="Times New Roman" w:eastAsia="宋体" w:hAnsi="Times New Roman" w:cs="Segoe UI" w:hint="eastAsia"/>
          <w:kern w:val="0"/>
          <w:sz w:val="24"/>
          <w:szCs w:val="24"/>
        </w:rPr>
        <w:lastRenderedPageBreak/>
        <w:t>用电量历史数据，构建损失评估模型，对台风可能造成的用电量损失进行量化评估。这有助于电力部门提前制定应对措施，减少损失。</w:t>
      </w:r>
    </w:p>
    <w:p w14:paraId="7AAF0EF9" w14:textId="77777777" w:rsidR="006174B2" w:rsidRDefault="00000000">
      <w:pPr>
        <w:widowControl/>
        <w:shd w:val="clear" w:color="auto" w:fill="FDFDFE"/>
        <w:spacing w:line="360" w:lineRule="auto"/>
        <w:jc w:val="left"/>
        <w:rPr>
          <w:rFonts w:ascii="黑体" w:eastAsia="黑体" w:hAnsi="黑体" w:cs="黑体"/>
          <w:kern w:val="0"/>
          <w:sz w:val="24"/>
          <w:szCs w:val="24"/>
        </w:rPr>
      </w:pPr>
      <w:r>
        <w:rPr>
          <w:rFonts w:ascii="黑体" w:eastAsia="黑体" w:hAnsi="黑体" w:cs="黑体" w:hint="eastAsia"/>
          <w:kern w:val="0"/>
          <w:sz w:val="24"/>
          <w:szCs w:val="24"/>
        </w:rPr>
        <w:t>核心技术3：基于深度学习方法进行储能设备分配和路线规划</w:t>
      </w:r>
    </w:p>
    <w:p w14:paraId="28DE5CB2" w14:textId="77777777" w:rsidR="006174B2" w:rsidRDefault="00000000">
      <w:pPr>
        <w:widowControl/>
        <w:shd w:val="clear" w:color="auto" w:fill="FDFDFE"/>
        <w:spacing w:line="360" w:lineRule="auto"/>
        <w:ind w:firstLineChars="200" w:firstLine="480"/>
        <w:jc w:val="left"/>
        <w:rPr>
          <w:rFonts w:ascii="Times New Roman" w:eastAsia="宋体" w:hAnsi="Times New Roman" w:cs="Segoe UI"/>
          <w:kern w:val="0"/>
          <w:sz w:val="24"/>
          <w:szCs w:val="24"/>
        </w:rPr>
      </w:pPr>
      <w:r>
        <w:rPr>
          <w:rFonts w:ascii="Times New Roman" w:eastAsia="宋体" w:hAnsi="Times New Roman" w:cs="Segoe UI" w:hint="eastAsia"/>
          <w:kern w:val="0"/>
          <w:sz w:val="24"/>
          <w:szCs w:val="24"/>
        </w:rPr>
        <w:t>首先进行</w:t>
      </w:r>
      <w:r>
        <w:rPr>
          <w:rFonts w:ascii="Times New Roman" w:eastAsia="宋体" w:hAnsi="Times New Roman" w:cs="Segoe UI"/>
          <w:kern w:val="0"/>
          <w:sz w:val="24"/>
          <w:szCs w:val="24"/>
        </w:rPr>
        <w:t>站点信息整合</w:t>
      </w:r>
      <w:r>
        <w:rPr>
          <w:rFonts w:ascii="Times New Roman" w:eastAsia="宋体" w:hAnsi="Times New Roman" w:cs="Segoe UI" w:hint="eastAsia"/>
          <w:kern w:val="0"/>
          <w:sz w:val="24"/>
          <w:szCs w:val="24"/>
        </w:rPr>
        <w:t>，整合各站点（如充电站、应急物资储备点等）的位置、容量、运行状态等信息，形成站点信息数据库。相应的，使用基于深度学习神经网络的</w:t>
      </w:r>
      <w:r>
        <w:rPr>
          <w:rFonts w:ascii="Times New Roman" w:eastAsia="宋体" w:hAnsi="Times New Roman" w:cs="Segoe UI"/>
          <w:kern w:val="0"/>
          <w:sz w:val="24"/>
          <w:szCs w:val="24"/>
        </w:rPr>
        <w:t>路径优化算法</w:t>
      </w:r>
      <w:r>
        <w:rPr>
          <w:rFonts w:ascii="Times New Roman" w:eastAsia="宋体" w:hAnsi="Times New Roman" w:cs="Segoe UI" w:hint="eastAsia"/>
          <w:kern w:val="0"/>
          <w:sz w:val="24"/>
          <w:szCs w:val="24"/>
        </w:rPr>
        <w:t>，利用路径优化算法，根据台风的预测路径和强度，以及各站点的分布情况，计算最优的物资调配和人员疏散路径。同时进行</w:t>
      </w:r>
      <w:r>
        <w:rPr>
          <w:rFonts w:ascii="Times New Roman" w:eastAsia="宋体" w:hAnsi="Times New Roman" w:cs="Segoe UI"/>
          <w:kern w:val="0"/>
          <w:sz w:val="24"/>
          <w:szCs w:val="24"/>
        </w:rPr>
        <w:t>实时调度与监控</w:t>
      </w:r>
      <w:r>
        <w:rPr>
          <w:rFonts w:ascii="Times New Roman" w:eastAsia="宋体" w:hAnsi="Times New Roman" w:cs="Segoe UI" w:hint="eastAsia"/>
          <w:kern w:val="0"/>
          <w:sz w:val="24"/>
          <w:szCs w:val="24"/>
        </w:rPr>
        <w:t>，通过实时调度系统，对各站点的物资和人员进行动态调配，确保在台风期间能够及时响应和处理各种紧急情况。利用监控系统实时掌握各站点的运行状态，为决策提供支持。</w:t>
      </w:r>
    </w:p>
    <w:p w14:paraId="7596E46A" w14:textId="77777777" w:rsidR="006174B2" w:rsidRDefault="00000000">
      <w:pPr>
        <w:widowControl/>
        <w:shd w:val="clear" w:color="auto" w:fill="FDFDFE"/>
        <w:spacing w:line="360" w:lineRule="auto"/>
        <w:jc w:val="left"/>
        <w:rPr>
          <w:rFonts w:ascii="Times New Roman" w:eastAsia="宋体" w:hAnsi="Times New Roman" w:cs="Segoe UI"/>
          <w:b/>
          <w:bCs/>
          <w:kern w:val="0"/>
          <w:sz w:val="24"/>
          <w:szCs w:val="24"/>
        </w:rPr>
      </w:pPr>
      <w:r>
        <w:rPr>
          <w:rFonts w:ascii="黑体" w:eastAsia="黑体" w:hAnsi="黑体" w:cs="黑体" w:hint="eastAsia"/>
          <w:kern w:val="0"/>
          <w:sz w:val="24"/>
          <w:szCs w:val="24"/>
        </w:rPr>
        <w:t>核心技术4：基于AI与优化理论预测节假日等高峰期的用电需求</w:t>
      </w:r>
    </w:p>
    <w:p w14:paraId="38C5A8D9" w14:textId="77777777" w:rsidR="006174B2" w:rsidRDefault="00000000">
      <w:pPr>
        <w:widowControl/>
        <w:shd w:val="clear" w:color="auto" w:fill="FDFDFE"/>
        <w:spacing w:line="360" w:lineRule="auto"/>
        <w:ind w:firstLineChars="200" w:firstLine="480"/>
        <w:jc w:val="left"/>
        <w:rPr>
          <w:rFonts w:ascii="Times New Roman" w:eastAsia="宋体" w:hAnsi="Times New Roman" w:cs="Segoe UI"/>
          <w:kern w:val="0"/>
          <w:sz w:val="24"/>
          <w:szCs w:val="24"/>
        </w:rPr>
      </w:pPr>
      <w:r>
        <w:rPr>
          <w:rFonts w:ascii="Times New Roman" w:eastAsia="宋体" w:hAnsi="Times New Roman" w:cs="Segoe UI"/>
          <w:kern w:val="0"/>
          <w:sz w:val="24"/>
          <w:szCs w:val="24"/>
        </w:rPr>
        <w:t>出行需求预测</w:t>
      </w:r>
      <w:r>
        <w:rPr>
          <w:rFonts w:ascii="Times New Roman" w:eastAsia="宋体" w:hAnsi="Times New Roman" w:cs="Segoe UI" w:hint="eastAsia"/>
          <w:kern w:val="0"/>
          <w:sz w:val="24"/>
          <w:szCs w:val="24"/>
        </w:rPr>
        <w:t>，利用大数据分析技术，对节假日和日常某段时间的出行需求进行预测。这包括出行人数、目的地分布、出行时间等信息。优化</w:t>
      </w:r>
      <w:r>
        <w:rPr>
          <w:rFonts w:ascii="Times New Roman" w:eastAsia="宋体" w:hAnsi="Times New Roman" w:cs="Segoe UI"/>
          <w:kern w:val="0"/>
          <w:sz w:val="24"/>
          <w:szCs w:val="24"/>
        </w:rPr>
        <w:t>路径规划算法</w:t>
      </w:r>
      <w:r>
        <w:rPr>
          <w:rFonts w:ascii="Times New Roman" w:eastAsia="宋体" w:hAnsi="Times New Roman" w:cs="Segoe UI" w:hint="eastAsia"/>
          <w:kern w:val="0"/>
          <w:sz w:val="24"/>
          <w:szCs w:val="24"/>
        </w:rPr>
        <w:t>，基于出行需求预测结果，利用路径规划算法为每个出行者规划最优的出行路径。这考虑了交通拥堵、道路状况、目的地距离等多个因素。最后进行，</w:t>
      </w:r>
      <w:r>
        <w:rPr>
          <w:rFonts w:ascii="Times New Roman" w:eastAsia="宋体" w:hAnsi="Times New Roman" w:cs="Segoe UI"/>
          <w:kern w:val="0"/>
          <w:sz w:val="24"/>
          <w:szCs w:val="24"/>
        </w:rPr>
        <w:t>充电</w:t>
      </w:r>
      <w:proofErr w:type="gramStart"/>
      <w:r>
        <w:rPr>
          <w:rFonts w:ascii="Times New Roman" w:eastAsia="宋体" w:hAnsi="Times New Roman" w:cs="Segoe UI"/>
          <w:kern w:val="0"/>
          <w:sz w:val="24"/>
          <w:szCs w:val="24"/>
        </w:rPr>
        <w:t>桩分配</w:t>
      </w:r>
      <w:proofErr w:type="gramEnd"/>
      <w:r>
        <w:rPr>
          <w:rFonts w:ascii="Times New Roman" w:eastAsia="宋体" w:hAnsi="Times New Roman" w:cs="Segoe UI"/>
          <w:kern w:val="0"/>
          <w:sz w:val="24"/>
          <w:szCs w:val="24"/>
        </w:rPr>
        <w:t>与优化</w:t>
      </w:r>
      <w:r>
        <w:rPr>
          <w:rFonts w:ascii="Times New Roman" w:eastAsia="宋体" w:hAnsi="Times New Roman" w:cs="Segoe UI" w:hint="eastAsia"/>
          <w:kern w:val="0"/>
          <w:sz w:val="24"/>
          <w:szCs w:val="24"/>
        </w:rPr>
        <w:t>。对于电动车用户，系统会根据充电桩的分布情况和实时使用情况，为车辆安排最合适的充电站点。同时，根据电价预测结果，合理安排不同类型充电桩的使用，实现低价多销的目标。</w:t>
      </w:r>
    </w:p>
    <w:p w14:paraId="11EB6DDE" w14:textId="77777777" w:rsidR="006174B2" w:rsidRDefault="00000000">
      <w:pPr>
        <w:widowControl/>
        <w:shd w:val="clear" w:color="auto" w:fill="FDFDFE"/>
        <w:spacing w:line="360" w:lineRule="auto"/>
        <w:ind w:firstLineChars="200" w:firstLine="480"/>
        <w:jc w:val="left"/>
        <w:rPr>
          <w:rFonts w:ascii="Times New Roman" w:eastAsia="宋体" w:hAnsi="Times New Roman" w:cs="Segoe UI"/>
          <w:kern w:val="0"/>
          <w:sz w:val="24"/>
          <w:szCs w:val="24"/>
        </w:rPr>
      </w:pPr>
      <w:r>
        <w:rPr>
          <w:rFonts w:ascii="Times New Roman" w:eastAsia="宋体" w:hAnsi="Times New Roman" w:cs="Segoe UI" w:hint="eastAsia"/>
          <w:kern w:val="0"/>
          <w:sz w:val="24"/>
          <w:szCs w:val="24"/>
        </w:rPr>
        <w:t>综上所述，本技术原理通过综合运用大数据分析、深度学习、路径优化等技术手段，实现了对台风路径、用电量损失、站点支持、出行与路径分配等方面的精准预测和优化，为电力部门和用户提供了更加高效、便捷的服务。</w:t>
      </w:r>
    </w:p>
    <w:p w14:paraId="0FE299BF" w14:textId="77777777" w:rsidR="006174B2" w:rsidRDefault="00000000">
      <w:pPr>
        <w:widowControl/>
        <w:shd w:val="clear" w:color="auto" w:fill="FDFDFE"/>
        <w:jc w:val="left"/>
        <w:rPr>
          <w:rFonts w:ascii="Times New Roman" w:eastAsia="宋体" w:hAnsi="Times New Roman" w:cs="Segoe UI"/>
          <w:kern w:val="0"/>
          <w:sz w:val="24"/>
          <w:szCs w:val="24"/>
        </w:rPr>
      </w:pPr>
      <w:r>
        <w:rPr>
          <w:rFonts w:ascii="Times New Roman" w:eastAsia="宋体" w:hAnsi="Times New Roman" w:cs="Segoe UI" w:hint="eastAsia"/>
          <w:noProof/>
          <w:kern w:val="0"/>
          <w:sz w:val="24"/>
          <w:szCs w:val="24"/>
        </w:rPr>
        <w:drawing>
          <wp:inline distT="0" distB="0" distL="114300" distR="114300" wp14:anchorId="759F3D38" wp14:editId="78FC89B9">
            <wp:extent cx="5766435" cy="2879725"/>
            <wp:effectExtent l="0" t="0" r="12065" b="3175"/>
            <wp:docPr id="5" name="图片 5" descr="webwxgetmsgimg"/>
            <wp:cNvGraphicFramePr/>
            <a:graphic xmlns:a="http://schemas.openxmlformats.org/drawingml/2006/main">
              <a:graphicData uri="http://schemas.openxmlformats.org/drawingml/2006/picture">
                <pic:pic xmlns:pic="http://schemas.openxmlformats.org/drawingml/2006/picture">
                  <pic:nvPicPr>
                    <pic:cNvPr id="5" name="图片 5" descr="webwxgetmsgimg"/>
                    <pic:cNvPicPr/>
                  </pic:nvPicPr>
                  <pic:blipFill>
                    <a:blip r:embed="rId9"/>
                    <a:stretch>
                      <a:fillRect/>
                    </a:stretch>
                  </pic:blipFill>
                  <pic:spPr>
                    <a:xfrm>
                      <a:off x="0" y="0"/>
                      <a:ext cx="5766435" cy="2879725"/>
                    </a:xfrm>
                    <a:prstGeom prst="rect">
                      <a:avLst/>
                    </a:prstGeom>
                  </pic:spPr>
                </pic:pic>
              </a:graphicData>
            </a:graphic>
          </wp:inline>
        </w:drawing>
      </w:r>
    </w:p>
    <w:p w14:paraId="0330DB6E" w14:textId="77777777" w:rsidR="006174B2" w:rsidRDefault="00000000">
      <w:pPr>
        <w:widowControl/>
        <w:shd w:val="clear" w:color="auto" w:fill="FDFDFE"/>
        <w:spacing w:line="360" w:lineRule="auto"/>
        <w:ind w:firstLineChars="200" w:firstLine="422"/>
        <w:jc w:val="center"/>
        <w:rPr>
          <w:rFonts w:ascii="Times New Roman" w:eastAsia="宋体" w:hAnsi="Times New Roman" w:cs="宋体"/>
          <w:b/>
          <w:bCs/>
          <w:kern w:val="0"/>
        </w:rPr>
      </w:pPr>
      <w:r>
        <w:rPr>
          <w:rFonts w:ascii="Times New Roman" w:eastAsia="宋体" w:hAnsi="Times New Roman" w:cs="宋体" w:hint="eastAsia"/>
          <w:b/>
          <w:bCs/>
          <w:kern w:val="0"/>
        </w:rPr>
        <w:lastRenderedPageBreak/>
        <w:t>图</w:t>
      </w:r>
      <w:r>
        <w:rPr>
          <w:rFonts w:ascii="Times New Roman" w:eastAsia="宋体" w:hAnsi="Times New Roman" w:cs="宋体" w:hint="eastAsia"/>
          <w:b/>
          <w:bCs/>
          <w:kern w:val="0"/>
        </w:rPr>
        <w:t xml:space="preserve"> 1 </w:t>
      </w:r>
      <w:r>
        <w:rPr>
          <w:rFonts w:ascii="Times New Roman" w:eastAsia="宋体" w:hAnsi="Times New Roman" w:cs="宋体" w:hint="eastAsia"/>
          <w:b/>
          <w:bCs/>
          <w:kern w:val="0"/>
        </w:rPr>
        <w:t>：大数据分析模型</w:t>
      </w:r>
    </w:p>
    <w:p w14:paraId="045EB06E" w14:textId="77777777" w:rsidR="006174B2" w:rsidRDefault="006174B2">
      <w:pPr>
        <w:widowControl/>
        <w:shd w:val="clear" w:color="auto" w:fill="FDFDFE"/>
        <w:spacing w:line="360" w:lineRule="auto"/>
        <w:ind w:firstLineChars="200" w:firstLine="422"/>
        <w:jc w:val="center"/>
        <w:rPr>
          <w:rFonts w:ascii="Times New Roman" w:eastAsia="宋体" w:hAnsi="Times New Roman" w:cs="宋体"/>
          <w:b/>
          <w:bCs/>
          <w:kern w:val="0"/>
        </w:rPr>
      </w:pPr>
    </w:p>
    <w:p w14:paraId="3FA3188C" w14:textId="77777777" w:rsidR="006174B2" w:rsidRDefault="00000000">
      <w:pPr>
        <w:widowControl/>
        <w:shd w:val="clear" w:color="auto" w:fill="FDFDFE"/>
        <w:spacing w:beforeLines="50" w:before="156" w:afterLines="50" w:after="156"/>
        <w:jc w:val="left"/>
        <w:outlineLvl w:val="1"/>
        <w:rPr>
          <w:rFonts w:ascii="黑体" w:eastAsia="黑体" w:hAnsi="黑体" w:cs="黑体"/>
          <w:kern w:val="0"/>
          <w:sz w:val="28"/>
          <w:szCs w:val="28"/>
        </w:rPr>
      </w:pPr>
      <w:bookmarkStart w:id="18" w:name="_Toc15186"/>
      <w:r>
        <w:rPr>
          <w:rFonts w:ascii="黑体" w:eastAsia="黑体" w:hAnsi="黑体" w:cs="黑体" w:hint="eastAsia"/>
          <w:kern w:val="0"/>
          <w:sz w:val="28"/>
          <w:szCs w:val="28"/>
        </w:rPr>
        <w:t>2.4 产品或服务效果预期</w:t>
      </w:r>
      <w:bookmarkEnd w:id="18"/>
      <w:r>
        <w:rPr>
          <w:rFonts w:ascii="黑体" w:eastAsia="黑体" w:hAnsi="黑体" w:cs="黑体" w:hint="eastAsia"/>
          <w:kern w:val="0"/>
          <w:sz w:val="28"/>
          <w:szCs w:val="28"/>
        </w:rPr>
        <w:t xml:space="preserve"> </w:t>
      </w:r>
    </w:p>
    <w:p w14:paraId="6EF18040" w14:textId="77777777" w:rsidR="006174B2" w:rsidRDefault="00000000">
      <w:pPr>
        <w:spacing w:line="360" w:lineRule="auto"/>
        <w:ind w:firstLineChars="200" w:firstLine="480"/>
        <w:rPr>
          <w:rFonts w:ascii="宋体" w:eastAsia="宋体" w:hAnsi="宋体"/>
          <w:kern w:val="0"/>
          <w:sz w:val="24"/>
          <w:szCs w:val="24"/>
        </w:rPr>
      </w:pPr>
      <w:r>
        <w:rPr>
          <w:rFonts w:ascii="宋体" w:eastAsia="宋体" w:hAnsi="宋体"/>
          <w:kern w:val="0"/>
          <w:sz w:val="24"/>
          <w:szCs w:val="24"/>
        </w:rPr>
        <w:t>首先，在受灾区供电领域，我们的解决方案将实现迅速而高效的响应。一旦灾害发生，我们将能够立即调配资源，确保受灾区域在最短的时间内恢复电力供应。这将使得受影响的居民和企业能够快速回归正常状态，有效减少灾害造成的损失和影响。</w:t>
      </w:r>
    </w:p>
    <w:p w14:paraId="41D1FA28" w14:textId="77777777" w:rsidR="006174B2" w:rsidRDefault="00000000">
      <w:pPr>
        <w:spacing w:line="360" w:lineRule="auto"/>
        <w:ind w:firstLineChars="200" w:firstLine="480"/>
        <w:rPr>
          <w:rFonts w:ascii="宋体" w:eastAsia="宋体" w:hAnsi="宋体"/>
          <w:kern w:val="0"/>
          <w:sz w:val="24"/>
          <w:szCs w:val="24"/>
        </w:rPr>
      </w:pPr>
      <w:r>
        <w:rPr>
          <w:rFonts w:ascii="宋体" w:eastAsia="宋体" w:hAnsi="宋体"/>
          <w:kern w:val="0"/>
          <w:sz w:val="24"/>
          <w:szCs w:val="24"/>
        </w:rPr>
        <w:t>其次，在节假日电动汽车充电领域，我们的服务将极大地缓解高峰期的充电压力。通过精心规划和部署移动充电设备，我们将为电动汽车用户提供快速、便捷的充电服务。这意味着在未来的节假日里，用户将能够无忧驾驶电动汽车，</w:t>
      </w:r>
      <w:proofErr w:type="gramStart"/>
      <w:r>
        <w:rPr>
          <w:rFonts w:ascii="宋体" w:eastAsia="宋体" w:hAnsi="宋体"/>
          <w:kern w:val="0"/>
          <w:sz w:val="24"/>
          <w:szCs w:val="24"/>
        </w:rPr>
        <w:t>畅享出行</w:t>
      </w:r>
      <w:proofErr w:type="gramEnd"/>
      <w:r>
        <w:rPr>
          <w:rFonts w:ascii="宋体" w:eastAsia="宋体" w:hAnsi="宋体"/>
          <w:kern w:val="0"/>
          <w:sz w:val="24"/>
          <w:szCs w:val="24"/>
        </w:rPr>
        <w:t>体验，同时享受电动汽车所带来的环保优势。</w:t>
      </w:r>
    </w:p>
    <w:p w14:paraId="2F76A161" w14:textId="77777777" w:rsidR="006174B2" w:rsidRDefault="00000000">
      <w:pPr>
        <w:spacing w:line="360" w:lineRule="auto"/>
        <w:ind w:firstLineChars="200" w:firstLine="480"/>
        <w:rPr>
          <w:rFonts w:ascii="宋体" w:eastAsia="宋体" w:hAnsi="宋体"/>
          <w:kern w:val="0"/>
          <w:sz w:val="24"/>
          <w:szCs w:val="24"/>
        </w:rPr>
      </w:pPr>
      <w:r>
        <w:rPr>
          <w:rFonts w:ascii="宋体" w:eastAsia="宋体" w:hAnsi="宋体"/>
          <w:kern w:val="0"/>
          <w:sz w:val="24"/>
          <w:szCs w:val="24"/>
        </w:rPr>
        <w:t>最后，在日常供电方面，我们的低价多销策略将为广大用户带来实实在在的优惠。我们将致力于提供经济可靠、</w:t>
      </w:r>
      <w:proofErr w:type="gramStart"/>
      <w:r>
        <w:rPr>
          <w:rFonts w:ascii="宋体" w:eastAsia="宋体" w:hAnsi="宋体"/>
          <w:kern w:val="0"/>
          <w:sz w:val="24"/>
          <w:szCs w:val="24"/>
        </w:rPr>
        <w:t>优质稳定</w:t>
      </w:r>
      <w:proofErr w:type="gramEnd"/>
      <w:r>
        <w:rPr>
          <w:rFonts w:ascii="宋体" w:eastAsia="宋体" w:hAnsi="宋体"/>
          <w:kern w:val="0"/>
          <w:sz w:val="24"/>
          <w:szCs w:val="24"/>
        </w:rPr>
        <w:t>的电力服务，让用户以更加亲民的价格享受到高品质的用电体验。这将助力用户提升生活品质，同时也体现了我们对社会责任的坚定担当。</w:t>
      </w:r>
    </w:p>
    <w:p w14:paraId="7519DFB3" w14:textId="77777777" w:rsidR="006174B2" w:rsidRDefault="00000000">
      <w:pPr>
        <w:widowControl/>
        <w:shd w:val="clear" w:color="auto" w:fill="FDFDFE"/>
        <w:spacing w:beforeLines="50" w:before="156" w:afterLines="50" w:after="156"/>
        <w:jc w:val="center"/>
        <w:outlineLvl w:val="0"/>
        <w:rPr>
          <w:rFonts w:ascii="Times New Roman" w:eastAsia="宋体" w:hAnsi="Times New Roman" w:cs="Segoe UI"/>
          <w:kern w:val="0"/>
          <w:sz w:val="24"/>
          <w:szCs w:val="24"/>
        </w:rPr>
      </w:pPr>
      <w:bookmarkStart w:id="19" w:name="_Toc26155"/>
      <w:r>
        <w:rPr>
          <w:rFonts w:ascii="黑体" w:eastAsia="黑体" w:hAnsi="黑体" w:cs="黑体" w:hint="eastAsia"/>
          <w:kern w:val="0"/>
          <w:sz w:val="32"/>
          <w:szCs w:val="32"/>
        </w:rPr>
        <w:t>三、市场前景与商业模式</w:t>
      </w:r>
      <w:bookmarkEnd w:id="19"/>
    </w:p>
    <w:p w14:paraId="7CA7D195" w14:textId="77777777" w:rsidR="006174B2" w:rsidRDefault="00000000">
      <w:pPr>
        <w:widowControl/>
        <w:shd w:val="clear" w:color="auto" w:fill="FDFDFE"/>
        <w:spacing w:beforeLines="50" w:before="156" w:afterLines="50" w:after="156"/>
        <w:jc w:val="left"/>
        <w:outlineLvl w:val="1"/>
        <w:rPr>
          <w:rFonts w:ascii="黑体" w:eastAsia="黑体" w:hAnsi="黑体" w:cs="黑体"/>
          <w:kern w:val="0"/>
          <w:sz w:val="28"/>
          <w:szCs w:val="28"/>
          <w:highlight w:val="yellow"/>
        </w:rPr>
      </w:pPr>
      <w:bookmarkStart w:id="20" w:name="_Toc22533"/>
      <w:r>
        <w:rPr>
          <w:rFonts w:ascii="黑体" w:eastAsia="黑体" w:hAnsi="黑体" w:cs="黑体" w:hint="eastAsia"/>
          <w:kern w:val="0"/>
          <w:sz w:val="28"/>
          <w:szCs w:val="28"/>
        </w:rPr>
        <w:t>3.1 市场前景分析</w:t>
      </w:r>
      <w:bookmarkEnd w:id="20"/>
    </w:p>
    <w:p w14:paraId="4D202F33" w14:textId="77777777" w:rsidR="006174B2" w:rsidRDefault="00000000">
      <w:pPr>
        <w:spacing w:line="360" w:lineRule="auto"/>
        <w:ind w:firstLineChars="200" w:firstLine="460"/>
        <w:rPr>
          <w:rFonts w:ascii="宋体" w:eastAsia="宋体" w:hAnsi="宋体" w:cs="Segoe UI"/>
          <w:kern w:val="0"/>
          <w:sz w:val="23"/>
          <w:szCs w:val="23"/>
        </w:rPr>
      </w:pPr>
      <w:r>
        <w:rPr>
          <w:rFonts w:ascii="宋体" w:eastAsia="宋体" w:hAnsi="宋体" w:cs="Segoe UI" w:hint="eastAsia"/>
          <w:kern w:val="0"/>
          <w:sz w:val="23"/>
          <w:szCs w:val="23"/>
        </w:rPr>
        <w:t>大型自然灾害不断威胁着我国人民的电力供应稳态：“山竹”大型台风造成华南地区157万用户失去电力保障；四川受罕见热浪袭击用电负荷接连创新高；华中地区“电力冰灾”持续时间长达半月...</w:t>
      </w:r>
    </w:p>
    <w:p w14:paraId="66BF8AEC" w14:textId="77777777" w:rsidR="006174B2" w:rsidRDefault="00000000">
      <w:pPr>
        <w:spacing w:line="360" w:lineRule="auto"/>
        <w:ind w:firstLineChars="200" w:firstLine="460"/>
        <w:rPr>
          <w:rFonts w:ascii="宋体" w:eastAsia="宋体" w:hAnsi="宋体" w:cs="Segoe UI"/>
          <w:kern w:val="0"/>
          <w:sz w:val="23"/>
          <w:szCs w:val="23"/>
        </w:rPr>
      </w:pPr>
      <w:r>
        <w:rPr>
          <w:rFonts w:ascii="宋体" w:eastAsia="宋体" w:hAnsi="宋体" w:cs="Segoe UI" w:hint="eastAsia"/>
          <w:kern w:val="0"/>
          <w:sz w:val="23"/>
          <w:szCs w:val="23"/>
        </w:rPr>
        <w:t>近年来随着全球气候变暖，海平面随之不断上升，引发洪水等大型自然灾害频发。同时，极端对流天气的频繁发生给全球供电市场都带来了新的考验，其发生的概率增加也使得天气预测愈发困难，应急供电装置亦成为未来发展的大势所趋与重中之重。</w:t>
      </w:r>
    </w:p>
    <w:p w14:paraId="5D415FF1" w14:textId="77777777" w:rsidR="006174B2" w:rsidRDefault="00000000">
      <w:pPr>
        <w:spacing w:line="360" w:lineRule="auto"/>
        <w:ind w:firstLineChars="200" w:firstLine="460"/>
        <w:rPr>
          <w:rFonts w:ascii="宋体" w:eastAsia="宋体" w:hAnsi="宋体" w:cs="Segoe UI"/>
          <w:kern w:val="0"/>
          <w:sz w:val="23"/>
          <w:szCs w:val="23"/>
        </w:rPr>
      </w:pPr>
      <w:r>
        <w:rPr>
          <w:rFonts w:ascii="宋体" w:eastAsia="宋体" w:hAnsi="宋体" w:cs="Segoe UI" w:hint="eastAsia"/>
          <w:kern w:val="0"/>
          <w:sz w:val="23"/>
          <w:szCs w:val="23"/>
        </w:rPr>
        <w:t>因此，我公司所研发的移动储能供电设备将成为顺应社会需求所产生的必需品。我司储电装备分为大型及小型两种，前者可在极大程度上缓解受灾地区的电力损失状况，而后者将以“灵活、针对性强”为特点助力个体解决用电问题。</w:t>
      </w:r>
      <w:r>
        <w:rPr>
          <w:rFonts w:ascii="宋体" w:eastAsia="宋体" w:hAnsi="宋体" w:hint="eastAsia"/>
          <w:kern w:val="0"/>
          <w:sz w:val="23"/>
          <w:szCs w:val="23"/>
        </w:rPr>
        <w:t>因此，我们的产品或服务具有广阔的市场前景。</w:t>
      </w:r>
    </w:p>
    <w:p w14:paraId="300A8315" w14:textId="77777777" w:rsidR="006174B2" w:rsidRDefault="00000000">
      <w:pPr>
        <w:widowControl/>
        <w:shd w:val="clear" w:color="auto" w:fill="FDFDFE"/>
        <w:spacing w:beforeLines="50" w:before="156" w:afterLines="50" w:after="156"/>
        <w:jc w:val="left"/>
        <w:outlineLvl w:val="1"/>
        <w:rPr>
          <w:rFonts w:ascii="黑体" w:eastAsia="黑体" w:hAnsi="黑体" w:cs="黑体"/>
          <w:kern w:val="0"/>
          <w:sz w:val="28"/>
          <w:szCs w:val="28"/>
        </w:rPr>
      </w:pPr>
      <w:bookmarkStart w:id="21" w:name="_Toc17907"/>
      <w:r>
        <w:rPr>
          <w:rFonts w:ascii="黑体" w:eastAsia="黑体" w:hAnsi="黑体" w:cs="黑体" w:hint="eastAsia"/>
          <w:kern w:val="0"/>
          <w:sz w:val="28"/>
          <w:szCs w:val="28"/>
        </w:rPr>
        <w:lastRenderedPageBreak/>
        <w:t>3.2 目标市场定位</w:t>
      </w:r>
      <w:bookmarkEnd w:id="21"/>
    </w:p>
    <w:p w14:paraId="1E539100" w14:textId="77777777" w:rsidR="006174B2"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kern w:val="0"/>
          <w:sz w:val="24"/>
          <w:szCs w:val="24"/>
        </w:rPr>
        <w:t>我们的目标市场主要包括电动汽车用户和需要应急电力支持的机构或地区。我们将通过市场调研和分析，</w:t>
      </w:r>
      <w:r>
        <w:rPr>
          <w:rFonts w:ascii="Times New Roman" w:eastAsia="宋体" w:hAnsi="Times New Roman" w:hint="eastAsia"/>
          <w:sz w:val="24"/>
          <w:szCs w:val="24"/>
        </w:rPr>
        <w:t>结合大数据统计，使用需求渗透率分析法估算出市场容量，来测算目标市场的规模，</w:t>
      </w:r>
      <w:r>
        <w:rPr>
          <w:rFonts w:ascii="Times New Roman" w:eastAsia="宋体" w:hAnsi="Times New Roman" w:hint="eastAsia"/>
          <w:kern w:val="0"/>
          <w:sz w:val="24"/>
          <w:szCs w:val="24"/>
        </w:rPr>
        <w:t>进一步明确目标市场的需求和特点，为产品或服务的推广和营销提供支持。</w:t>
      </w:r>
      <w:r>
        <w:rPr>
          <w:rFonts w:ascii="Times New Roman" w:eastAsia="宋体" w:hAnsi="Times New Roman" w:hint="eastAsia"/>
          <w:sz w:val="24"/>
          <w:szCs w:val="24"/>
        </w:rPr>
        <w:t>由于本公司所提供的产品与服务的特殊性与完备性，市场容量短期内不会太大，受自然因素影响较大，本公司的市场占有率预计将达到</w:t>
      </w:r>
      <w:r>
        <w:rPr>
          <w:rFonts w:ascii="Times New Roman" w:eastAsia="宋体" w:hAnsi="Times New Roman" w:hint="eastAsia"/>
          <w:sz w:val="24"/>
          <w:szCs w:val="24"/>
        </w:rPr>
        <w:t>40%</w:t>
      </w:r>
      <w:r>
        <w:rPr>
          <w:rFonts w:ascii="Times New Roman" w:eastAsia="宋体" w:hAnsi="Times New Roman" w:hint="eastAsia"/>
          <w:sz w:val="24"/>
          <w:szCs w:val="24"/>
        </w:rPr>
        <w:t>以上。随着时间推移与经济发展，新能源</w:t>
      </w:r>
      <w:proofErr w:type="gramStart"/>
      <w:r>
        <w:rPr>
          <w:rFonts w:ascii="Times New Roman" w:eastAsia="宋体" w:hAnsi="Times New Roman" w:hint="eastAsia"/>
          <w:sz w:val="24"/>
          <w:szCs w:val="24"/>
        </w:rPr>
        <w:t>车应用</w:t>
      </w:r>
      <w:proofErr w:type="gramEnd"/>
      <w:r>
        <w:rPr>
          <w:rFonts w:ascii="Times New Roman" w:eastAsia="宋体" w:hAnsi="Times New Roman" w:hint="eastAsia"/>
          <w:sz w:val="24"/>
          <w:szCs w:val="24"/>
        </w:rPr>
        <w:t>率越来越高，便捷经济的移动电源将成为大势所趋，市场容量也将逐步扩大。</w:t>
      </w:r>
    </w:p>
    <w:p w14:paraId="06EE74B6" w14:textId="77777777" w:rsidR="006174B2" w:rsidRDefault="00000000">
      <w:pPr>
        <w:spacing w:beforeLines="50" w:before="156" w:afterLines="50" w:after="156"/>
        <w:outlineLvl w:val="1"/>
        <w:rPr>
          <w:rFonts w:ascii="黑体" w:eastAsia="黑体" w:hAnsi="黑体" w:cs="黑体"/>
          <w:kern w:val="0"/>
          <w:sz w:val="28"/>
          <w:szCs w:val="28"/>
          <w:highlight w:val="yellow"/>
        </w:rPr>
      </w:pPr>
      <w:bookmarkStart w:id="22" w:name="_Toc8616"/>
      <w:r>
        <w:rPr>
          <w:rFonts w:ascii="黑体" w:eastAsia="黑体" w:hAnsi="黑体" w:cs="黑体" w:hint="eastAsia"/>
          <w:kern w:val="0"/>
          <w:sz w:val="28"/>
          <w:szCs w:val="28"/>
        </w:rPr>
        <w:t>3.3 商业模式阐述</w:t>
      </w:r>
      <w:bookmarkEnd w:id="22"/>
    </w:p>
    <w:p w14:paraId="05001714" w14:textId="77777777" w:rsidR="006174B2" w:rsidRDefault="00000000">
      <w:pPr>
        <w:spacing w:line="360" w:lineRule="auto"/>
        <w:ind w:firstLineChars="200" w:firstLine="480"/>
        <w:rPr>
          <w:rFonts w:ascii="宋体" w:eastAsia="宋体" w:hAnsi="宋体" w:cs="Segoe UI"/>
          <w:kern w:val="0"/>
          <w:sz w:val="24"/>
          <w:szCs w:val="24"/>
        </w:rPr>
      </w:pPr>
      <w:r>
        <w:rPr>
          <w:rFonts w:ascii="宋体" w:eastAsia="宋体" w:hAnsi="宋体" w:cs="Segoe UI" w:hint="eastAsia"/>
          <w:kern w:val="0"/>
          <w:sz w:val="24"/>
          <w:szCs w:val="24"/>
        </w:rPr>
        <w:t>我们的商业模式将有三个板块组成。</w:t>
      </w:r>
    </w:p>
    <w:p w14:paraId="6F820D24" w14:textId="77777777" w:rsidR="006174B2" w:rsidRDefault="00000000">
      <w:pPr>
        <w:spacing w:line="360" w:lineRule="auto"/>
        <w:ind w:firstLineChars="200" w:firstLine="480"/>
        <w:rPr>
          <w:rFonts w:ascii="宋体" w:eastAsia="宋体" w:hAnsi="宋体" w:cs="Segoe UI"/>
          <w:kern w:val="0"/>
          <w:sz w:val="24"/>
          <w:szCs w:val="24"/>
        </w:rPr>
      </w:pPr>
      <w:r>
        <w:rPr>
          <w:rFonts w:ascii="宋体" w:eastAsia="宋体" w:hAnsi="宋体" w:cs="Segoe UI" w:hint="eastAsia"/>
          <w:kern w:val="0"/>
          <w:sz w:val="24"/>
          <w:szCs w:val="24"/>
        </w:rPr>
        <w:t>第一部分为我司与国家电网的合作模式。我们将与国家电网进行产业合作以助力应对极端天气供电需求。我们将以“灵活机动性强”为特点将电力受灾时间压缩至最短，做到真正的为民解忧，助民生活。</w:t>
      </w:r>
    </w:p>
    <w:p w14:paraId="6B3F04BA" w14:textId="77777777" w:rsidR="006174B2" w:rsidRDefault="00000000">
      <w:pPr>
        <w:spacing w:line="360" w:lineRule="auto"/>
        <w:ind w:firstLineChars="200" w:firstLine="480"/>
        <w:rPr>
          <w:rFonts w:ascii="宋体" w:eastAsia="宋体" w:hAnsi="宋体" w:cs="Segoe UI"/>
          <w:kern w:val="0"/>
          <w:sz w:val="24"/>
          <w:szCs w:val="24"/>
        </w:rPr>
      </w:pPr>
      <w:r>
        <w:rPr>
          <w:rFonts w:ascii="宋体" w:eastAsia="宋体" w:hAnsi="宋体" w:cs="Segoe UI" w:hint="eastAsia"/>
          <w:kern w:val="0"/>
          <w:sz w:val="24"/>
          <w:szCs w:val="24"/>
        </w:rPr>
        <w:t>第二部分为我司寻找合作伙伴共同推广我司移动储电产品。在节假日期间移动供电设备需求量明显增加，我司将借用AI技术及大数据等工具预测区域用电模型，同其他合作公司一起打造出区域点位图，并在不同地区区段布置不同规格及价格的小型储电桩以便客户出行。</w:t>
      </w:r>
    </w:p>
    <w:p w14:paraId="6BA54E13" w14:textId="77777777" w:rsidR="006174B2" w:rsidRDefault="00000000">
      <w:pPr>
        <w:spacing w:line="360" w:lineRule="auto"/>
        <w:ind w:firstLineChars="200" w:firstLine="480"/>
        <w:rPr>
          <w:rFonts w:ascii="宋体" w:eastAsia="宋体" w:hAnsi="宋体" w:cs="Segoe UI"/>
          <w:kern w:val="0"/>
          <w:sz w:val="24"/>
          <w:szCs w:val="24"/>
        </w:rPr>
      </w:pPr>
      <w:r>
        <w:rPr>
          <w:rFonts w:ascii="宋体" w:eastAsia="宋体" w:hAnsi="宋体" w:cs="Segoe UI" w:hint="eastAsia"/>
          <w:kern w:val="0"/>
          <w:sz w:val="24"/>
          <w:szCs w:val="24"/>
        </w:rPr>
        <w:t>第三部分为助力客户日常用电需求。我们以“高水准服务、高效率布置”为标准，为客户提供最优质的用电服务，满足客户的日常出行需求。</w:t>
      </w:r>
    </w:p>
    <w:p w14:paraId="3FB12E81" w14:textId="77777777" w:rsidR="006174B2" w:rsidRDefault="00000000">
      <w:pPr>
        <w:spacing w:line="360" w:lineRule="auto"/>
        <w:ind w:firstLineChars="200" w:firstLine="480"/>
        <w:rPr>
          <w:rFonts w:ascii="宋体" w:eastAsia="宋体" w:hAnsi="宋体" w:cs="Segoe UI"/>
          <w:kern w:val="0"/>
          <w:sz w:val="24"/>
          <w:szCs w:val="24"/>
        </w:rPr>
      </w:pPr>
      <w:r>
        <w:rPr>
          <w:rFonts w:ascii="宋体" w:eastAsia="宋体" w:hAnsi="宋体" w:cs="Segoe UI" w:hint="eastAsia"/>
          <w:kern w:val="0"/>
          <w:sz w:val="24"/>
          <w:szCs w:val="24"/>
        </w:rPr>
        <w:t>综上，我司将从以上三方面“三管齐下”在切实为社会</w:t>
      </w:r>
      <w:proofErr w:type="gramStart"/>
      <w:r>
        <w:rPr>
          <w:rFonts w:ascii="宋体" w:eastAsia="宋体" w:hAnsi="宋体" w:cs="Segoe UI" w:hint="eastAsia"/>
          <w:kern w:val="0"/>
          <w:sz w:val="24"/>
          <w:szCs w:val="24"/>
        </w:rPr>
        <w:t>作出</w:t>
      </w:r>
      <w:proofErr w:type="gramEnd"/>
      <w:r>
        <w:rPr>
          <w:rFonts w:ascii="宋体" w:eastAsia="宋体" w:hAnsi="宋体" w:cs="Segoe UI" w:hint="eastAsia"/>
          <w:kern w:val="0"/>
          <w:sz w:val="24"/>
          <w:szCs w:val="24"/>
        </w:rPr>
        <w:t>贡献、助力群众需求的同时达到利益最大化的效果。</w:t>
      </w:r>
    </w:p>
    <w:p w14:paraId="0B51F198" w14:textId="77777777" w:rsidR="006174B2" w:rsidRDefault="00000000">
      <w:pPr>
        <w:widowControl/>
        <w:shd w:val="clear" w:color="auto" w:fill="FDFDFE"/>
        <w:spacing w:beforeLines="50" w:before="156" w:afterLines="50" w:after="156"/>
        <w:jc w:val="left"/>
        <w:outlineLvl w:val="1"/>
        <w:rPr>
          <w:rFonts w:ascii="黑体" w:eastAsia="黑体" w:hAnsi="黑体" w:cs="黑体"/>
          <w:kern w:val="0"/>
          <w:sz w:val="28"/>
          <w:szCs w:val="28"/>
          <w:highlight w:val="yellow"/>
        </w:rPr>
      </w:pPr>
      <w:bookmarkStart w:id="23" w:name="_Toc3646"/>
      <w:r>
        <w:rPr>
          <w:rFonts w:ascii="黑体" w:eastAsia="黑体" w:hAnsi="黑体" w:cs="黑体" w:hint="eastAsia"/>
          <w:kern w:val="0"/>
          <w:sz w:val="28"/>
          <w:szCs w:val="28"/>
        </w:rPr>
        <w:t>3.4 竞争策略</w:t>
      </w:r>
      <w:bookmarkEnd w:id="23"/>
    </w:p>
    <w:p w14:paraId="61AE08D1" w14:textId="77777777" w:rsidR="006174B2" w:rsidRDefault="00000000">
      <w:pPr>
        <w:widowControl/>
        <w:shd w:val="clear" w:color="auto" w:fill="FDFDFE"/>
        <w:spacing w:line="360" w:lineRule="auto"/>
        <w:ind w:firstLineChars="200" w:firstLine="480"/>
        <w:jc w:val="left"/>
        <w:rPr>
          <w:rFonts w:ascii="宋体" w:eastAsia="宋体" w:hAnsi="宋体" w:cs="Segoe UI"/>
          <w:kern w:val="0"/>
          <w:sz w:val="24"/>
          <w:szCs w:val="24"/>
        </w:rPr>
      </w:pPr>
      <w:r>
        <w:rPr>
          <w:rFonts w:ascii="宋体" w:eastAsia="宋体" w:hAnsi="宋体" w:cs="Segoe UI" w:hint="eastAsia"/>
          <w:kern w:val="0"/>
          <w:sz w:val="24"/>
          <w:szCs w:val="24"/>
        </w:rPr>
        <w:t>我们的竞争策略主要从三个角度出发。</w:t>
      </w:r>
    </w:p>
    <w:p w14:paraId="6C952765" w14:textId="77777777" w:rsidR="006174B2" w:rsidRDefault="00000000">
      <w:pPr>
        <w:widowControl/>
        <w:shd w:val="clear" w:color="auto" w:fill="FDFDFE"/>
        <w:spacing w:line="360" w:lineRule="auto"/>
        <w:ind w:firstLineChars="200" w:firstLine="480"/>
        <w:jc w:val="left"/>
        <w:rPr>
          <w:rFonts w:ascii="宋体" w:eastAsia="宋体" w:hAnsi="宋体" w:cs="Segoe UI"/>
          <w:kern w:val="0"/>
          <w:sz w:val="24"/>
          <w:szCs w:val="24"/>
        </w:rPr>
      </w:pPr>
      <w:r>
        <w:rPr>
          <w:rFonts w:ascii="宋体" w:eastAsia="宋体" w:hAnsi="宋体" w:cs="Segoe UI" w:hint="eastAsia"/>
          <w:kern w:val="0"/>
          <w:sz w:val="24"/>
          <w:szCs w:val="24"/>
        </w:rPr>
        <w:t>第一为技术创新。我们将采用全新的市场供电运用模式打造精细循环服务链，采用创新技术设计制作大型、小型移动储电装置为社会提供切实有效的服务，满足社会需求。</w:t>
      </w:r>
    </w:p>
    <w:p w14:paraId="311535FE" w14:textId="77777777" w:rsidR="006174B2" w:rsidRDefault="00000000">
      <w:pPr>
        <w:widowControl/>
        <w:shd w:val="clear" w:color="auto" w:fill="FDFDFE"/>
        <w:spacing w:line="360" w:lineRule="auto"/>
        <w:ind w:firstLineChars="200" w:firstLine="480"/>
        <w:jc w:val="left"/>
        <w:rPr>
          <w:rFonts w:ascii="宋体" w:eastAsia="宋体" w:hAnsi="宋体" w:cs="Segoe UI"/>
          <w:kern w:val="0"/>
          <w:sz w:val="24"/>
          <w:szCs w:val="24"/>
        </w:rPr>
      </w:pPr>
      <w:r>
        <w:rPr>
          <w:rFonts w:ascii="宋体" w:eastAsia="宋体" w:hAnsi="宋体" w:cs="Segoe UI" w:hint="eastAsia"/>
          <w:kern w:val="0"/>
          <w:sz w:val="24"/>
          <w:szCs w:val="24"/>
        </w:rPr>
        <w:lastRenderedPageBreak/>
        <w:t>第二为区域运营模式定制化。我们将借助大数据等工具对不同区域用电需求及经济发展状态等进行考察，将产品设置不同价位档、不同充电模式等供客户自主选择。</w:t>
      </w:r>
    </w:p>
    <w:p w14:paraId="15C5251F" w14:textId="77777777" w:rsidR="006174B2" w:rsidRDefault="00000000">
      <w:pPr>
        <w:widowControl/>
        <w:shd w:val="clear" w:color="auto" w:fill="FDFDFE"/>
        <w:spacing w:line="360" w:lineRule="auto"/>
        <w:ind w:firstLineChars="200" w:firstLine="480"/>
        <w:jc w:val="left"/>
        <w:rPr>
          <w:rFonts w:ascii="宋体" w:eastAsia="宋体" w:hAnsi="宋体" w:cs="Segoe UI"/>
          <w:kern w:val="0"/>
          <w:sz w:val="24"/>
          <w:szCs w:val="24"/>
        </w:rPr>
      </w:pPr>
      <w:r>
        <w:rPr>
          <w:rFonts w:ascii="宋体" w:eastAsia="宋体" w:hAnsi="宋体" w:cs="Segoe UI" w:hint="eastAsia"/>
          <w:kern w:val="0"/>
          <w:sz w:val="24"/>
          <w:szCs w:val="24"/>
        </w:rPr>
        <w:t>第三为服务水平高质化。我司将在为客户提供高质量产品的同时提供最优质的服务，让我司成为客户在有此类用电需求时的放心首选。</w:t>
      </w:r>
    </w:p>
    <w:p w14:paraId="472DD38E" w14:textId="77777777" w:rsidR="006174B2" w:rsidRDefault="00000000">
      <w:pPr>
        <w:widowControl/>
        <w:shd w:val="clear" w:color="auto" w:fill="FDFDFE"/>
        <w:spacing w:beforeLines="50" w:before="156" w:afterLines="50" w:after="156"/>
        <w:ind w:firstLine="656"/>
        <w:jc w:val="center"/>
        <w:outlineLvl w:val="0"/>
        <w:rPr>
          <w:rFonts w:ascii="黑体" w:eastAsia="黑体" w:hAnsi="黑体" w:cs="黑体"/>
          <w:kern w:val="0"/>
          <w:sz w:val="32"/>
          <w:szCs w:val="32"/>
        </w:rPr>
      </w:pPr>
      <w:bookmarkStart w:id="24" w:name="_Toc14539"/>
      <w:r>
        <w:rPr>
          <w:rFonts w:ascii="黑体" w:eastAsia="黑体" w:hAnsi="黑体" w:cs="黑体" w:hint="eastAsia"/>
          <w:kern w:val="0"/>
          <w:sz w:val="32"/>
          <w:szCs w:val="32"/>
        </w:rPr>
        <w:t>四、运营计划与营销策略</w:t>
      </w:r>
      <w:bookmarkEnd w:id="24"/>
    </w:p>
    <w:p w14:paraId="4419B864" w14:textId="77777777" w:rsidR="006174B2" w:rsidRDefault="00000000">
      <w:pPr>
        <w:widowControl/>
        <w:shd w:val="clear" w:color="auto" w:fill="FDFDFE"/>
        <w:spacing w:beforeLines="50" w:before="156" w:afterLines="50" w:after="156"/>
        <w:jc w:val="left"/>
        <w:outlineLvl w:val="1"/>
        <w:rPr>
          <w:rFonts w:ascii="黑体" w:eastAsia="黑体" w:hAnsi="黑体" w:cs="黑体"/>
          <w:kern w:val="0"/>
          <w:sz w:val="28"/>
          <w:szCs w:val="28"/>
        </w:rPr>
      </w:pPr>
      <w:bookmarkStart w:id="25" w:name="_Toc23011"/>
      <w:r>
        <w:rPr>
          <w:rFonts w:ascii="黑体" w:eastAsia="黑体" w:hAnsi="黑体" w:cs="黑体" w:hint="eastAsia"/>
          <w:kern w:val="0"/>
          <w:sz w:val="28"/>
          <w:szCs w:val="28"/>
        </w:rPr>
        <w:t>4.1 运营计划</w:t>
      </w:r>
      <w:bookmarkEnd w:id="25"/>
    </w:p>
    <w:p w14:paraId="29C3AAF2" w14:textId="77777777" w:rsidR="006174B2" w:rsidRDefault="00000000">
      <w:pPr>
        <w:widowControl/>
        <w:shd w:val="clear" w:color="auto" w:fill="FDFDFE"/>
        <w:spacing w:line="360" w:lineRule="auto"/>
        <w:ind w:firstLineChars="200" w:firstLine="480"/>
        <w:jc w:val="left"/>
        <w:rPr>
          <w:rFonts w:ascii="黑体" w:eastAsia="黑体" w:hAnsi="黑体" w:cs="黑体"/>
          <w:kern w:val="0"/>
          <w:sz w:val="24"/>
          <w:szCs w:val="24"/>
        </w:rPr>
      </w:pPr>
      <w:r>
        <w:rPr>
          <w:rFonts w:ascii="Times New Roman" w:eastAsia="宋体" w:hAnsi="Times New Roman" w:cs="Segoe UI" w:hint="eastAsia"/>
          <w:kern w:val="0"/>
          <w:sz w:val="24"/>
          <w:szCs w:val="24"/>
        </w:rPr>
        <w:t>为确保项目的顺利推进和高效运营，我们制定了详细的运营计划：</w:t>
      </w:r>
    </w:p>
    <w:p w14:paraId="5281DEDA" w14:textId="77777777" w:rsidR="006174B2" w:rsidRDefault="00000000">
      <w:pPr>
        <w:widowControl/>
        <w:shd w:val="clear" w:color="auto" w:fill="FDFDFE"/>
        <w:spacing w:beforeLines="50" w:before="156" w:afterLines="50" w:after="156"/>
        <w:jc w:val="left"/>
        <w:outlineLvl w:val="2"/>
        <w:rPr>
          <w:rFonts w:ascii="黑体" w:eastAsia="黑体" w:hAnsi="黑体" w:cs="黑体"/>
          <w:kern w:val="0"/>
          <w:sz w:val="24"/>
          <w:szCs w:val="24"/>
        </w:rPr>
      </w:pPr>
      <w:r>
        <w:rPr>
          <w:rFonts w:ascii="黑体" w:eastAsia="黑体" w:hAnsi="黑体" w:cs="黑体" w:hint="eastAsia"/>
          <w:kern w:val="0"/>
          <w:sz w:val="24"/>
          <w:szCs w:val="24"/>
        </w:rPr>
        <w:t>1.研发阶段：</w:t>
      </w:r>
    </w:p>
    <w:p w14:paraId="5B4F4256" w14:textId="77777777" w:rsidR="006174B2" w:rsidRDefault="00000000">
      <w:pPr>
        <w:widowControl/>
        <w:shd w:val="clear" w:color="auto" w:fill="FDFDFE"/>
        <w:spacing w:line="360" w:lineRule="auto"/>
        <w:ind w:firstLineChars="200" w:firstLine="480"/>
        <w:jc w:val="left"/>
        <w:rPr>
          <w:rFonts w:ascii="Times New Roman" w:eastAsia="宋体" w:hAnsi="Times New Roman" w:cs="Segoe UI"/>
          <w:kern w:val="0"/>
          <w:sz w:val="24"/>
          <w:szCs w:val="24"/>
        </w:rPr>
      </w:pPr>
      <w:r>
        <w:rPr>
          <w:rFonts w:ascii="Times New Roman" w:eastAsia="宋体" w:hAnsi="Times New Roman" w:cs="Segoe UI" w:hint="eastAsia"/>
          <w:kern w:val="0"/>
          <w:sz w:val="24"/>
          <w:szCs w:val="24"/>
        </w:rPr>
        <w:t>集中资源进行技术研发，不断优化产品性能，确保技术的领先性和产品的稳定性。</w:t>
      </w:r>
    </w:p>
    <w:p w14:paraId="0AB0C1B9" w14:textId="77777777" w:rsidR="006174B2" w:rsidRDefault="00000000">
      <w:pPr>
        <w:widowControl/>
        <w:shd w:val="clear" w:color="auto" w:fill="FDFDFE"/>
        <w:spacing w:beforeLines="50" w:before="156" w:afterLines="50" w:after="156"/>
        <w:jc w:val="left"/>
        <w:outlineLvl w:val="2"/>
        <w:rPr>
          <w:rFonts w:ascii="黑体" w:eastAsia="黑体" w:hAnsi="黑体" w:cs="黑体"/>
          <w:kern w:val="0"/>
          <w:sz w:val="24"/>
          <w:szCs w:val="24"/>
        </w:rPr>
      </w:pPr>
      <w:r>
        <w:rPr>
          <w:rFonts w:ascii="黑体" w:eastAsia="黑体" w:hAnsi="黑体" w:cs="黑体" w:hint="eastAsia"/>
          <w:kern w:val="0"/>
          <w:sz w:val="24"/>
          <w:szCs w:val="24"/>
        </w:rPr>
        <w:t>2.试点运营：</w:t>
      </w:r>
    </w:p>
    <w:p w14:paraId="3A049FF0" w14:textId="77777777" w:rsidR="006174B2" w:rsidRDefault="00000000">
      <w:pPr>
        <w:widowControl/>
        <w:shd w:val="clear" w:color="auto" w:fill="FDFDFE"/>
        <w:spacing w:line="360" w:lineRule="auto"/>
        <w:ind w:firstLineChars="200" w:firstLine="480"/>
        <w:jc w:val="left"/>
        <w:rPr>
          <w:rFonts w:ascii="Times New Roman" w:eastAsia="宋体" w:hAnsi="Times New Roman" w:cs="Segoe UI"/>
          <w:kern w:val="0"/>
          <w:sz w:val="24"/>
          <w:szCs w:val="24"/>
        </w:rPr>
      </w:pPr>
      <w:r>
        <w:rPr>
          <w:rFonts w:ascii="Times New Roman" w:eastAsia="宋体" w:hAnsi="Times New Roman" w:cs="Segoe UI" w:hint="eastAsia"/>
          <w:kern w:val="0"/>
          <w:sz w:val="24"/>
          <w:szCs w:val="24"/>
        </w:rPr>
        <w:t>在选定的区域进行试点运营，收集用户反馈，调整产品功能和服务模式。以下是我们预计进行的两个试点。</w:t>
      </w:r>
    </w:p>
    <w:p w14:paraId="5E7889D6" w14:textId="77777777" w:rsidR="006174B2" w:rsidRDefault="00000000">
      <w:pPr>
        <w:widowControl/>
        <w:shd w:val="clear" w:color="auto" w:fill="FDFDFE"/>
        <w:spacing w:line="360" w:lineRule="auto"/>
        <w:ind w:firstLineChars="200" w:firstLine="480"/>
        <w:jc w:val="left"/>
        <w:rPr>
          <w:rFonts w:ascii="Times New Roman" w:eastAsia="宋体" w:hAnsi="Times New Roman" w:cs="Segoe UI"/>
          <w:kern w:val="0"/>
          <w:sz w:val="24"/>
          <w:szCs w:val="24"/>
        </w:rPr>
      </w:pPr>
      <w:r>
        <w:rPr>
          <w:rFonts w:ascii="Times New Roman" w:eastAsia="宋体" w:hAnsi="Times New Roman" w:cs="宋体" w:hint="eastAsia"/>
          <w:kern w:val="0"/>
          <w:sz w:val="24"/>
          <w:szCs w:val="24"/>
        </w:rPr>
        <w:t>①北京试点：</w:t>
      </w:r>
      <w:r>
        <w:rPr>
          <w:rFonts w:ascii="Times New Roman" w:eastAsia="宋体" w:hAnsi="Times New Roman" w:cs="Segoe UI" w:hint="eastAsia"/>
          <w:kern w:val="0"/>
          <w:sz w:val="24"/>
          <w:szCs w:val="24"/>
        </w:rPr>
        <w:t>试点运营可行性及合理性分析：从受极端天气影响角度出发，作为北方城市，北京市在冬季也会在很大程度上受到寒潮的影响，电力系统也无疑会遭到寒潮的巨大冲击。寒潮可能带来的北京市部分区域电线杆倒塌，供电线路覆冰，发电设备冻结等一系列问题，这些问题也将直接导致相关区域的断电，短时间内对居民的生产生活造成巨大影响。</w:t>
      </w:r>
    </w:p>
    <w:p w14:paraId="514CB3CD" w14:textId="77777777" w:rsidR="006174B2" w:rsidRDefault="00000000">
      <w:pPr>
        <w:widowControl/>
        <w:shd w:val="clear" w:color="auto" w:fill="FDFDFE"/>
        <w:spacing w:line="360" w:lineRule="auto"/>
        <w:jc w:val="left"/>
        <w:rPr>
          <w:rFonts w:ascii="Times New Roman" w:eastAsia="宋体" w:hAnsi="Times New Roman" w:cs="Segoe UI"/>
          <w:kern w:val="0"/>
          <w:sz w:val="24"/>
          <w:szCs w:val="24"/>
        </w:rPr>
      </w:pPr>
      <w:r>
        <w:rPr>
          <w:rFonts w:ascii="Times New Roman" w:eastAsia="宋体" w:hAnsi="Times New Roman" w:cs="Segoe UI" w:hint="eastAsia"/>
          <w:kern w:val="0"/>
          <w:sz w:val="24"/>
          <w:szCs w:val="24"/>
        </w:rPr>
        <w:t>从新能源汽车用电角度出发，北京作为一座人口超</w:t>
      </w:r>
      <w:r>
        <w:rPr>
          <w:rFonts w:ascii="Times New Roman" w:eastAsia="宋体" w:hAnsi="Times New Roman" w:cs="Segoe UI" w:hint="eastAsia"/>
          <w:kern w:val="0"/>
          <w:sz w:val="24"/>
          <w:szCs w:val="24"/>
        </w:rPr>
        <w:t>2000</w:t>
      </w:r>
      <w:r>
        <w:rPr>
          <w:rFonts w:ascii="Times New Roman" w:eastAsia="宋体" w:hAnsi="Times New Roman" w:cs="Segoe UI" w:hint="eastAsia"/>
          <w:kern w:val="0"/>
          <w:sz w:val="24"/>
          <w:szCs w:val="24"/>
        </w:rPr>
        <w:t>万的超大型城市，电动汽车数量更是接近</w:t>
      </w:r>
      <w:r>
        <w:rPr>
          <w:rFonts w:ascii="Times New Roman" w:eastAsia="宋体" w:hAnsi="Times New Roman" w:cs="Segoe UI" w:hint="eastAsia"/>
          <w:kern w:val="0"/>
          <w:sz w:val="24"/>
          <w:szCs w:val="24"/>
        </w:rPr>
        <w:t>100</w:t>
      </w:r>
      <w:r>
        <w:rPr>
          <w:rFonts w:ascii="Times New Roman" w:eastAsia="宋体" w:hAnsi="Times New Roman" w:cs="Segoe UI" w:hint="eastAsia"/>
          <w:kern w:val="0"/>
          <w:sz w:val="24"/>
          <w:szCs w:val="24"/>
        </w:rPr>
        <w:t>万辆，加之北京作为旅游城市，节假日外来人口涌入量巨大，这些因素直接导致节假日期间北京市包括周边地区各大服务区充电站点用电需求激增。因此，北京市作为试点具有光明的前景。</w:t>
      </w:r>
    </w:p>
    <w:p w14:paraId="069AB03E" w14:textId="77777777" w:rsidR="006174B2" w:rsidRDefault="00000000">
      <w:pPr>
        <w:widowControl/>
        <w:shd w:val="clear" w:color="auto" w:fill="FDFDFE"/>
        <w:spacing w:line="360" w:lineRule="auto"/>
        <w:ind w:firstLine="480"/>
        <w:jc w:val="left"/>
        <w:rPr>
          <w:rFonts w:ascii="Times New Roman" w:eastAsia="宋体" w:hAnsi="Times New Roman" w:cs="Segoe UI"/>
          <w:kern w:val="0"/>
          <w:sz w:val="24"/>
          <w:szCs w:val="24"/>
        </w:rPr>
      </w:pPr>
      <w:r>
        <w:rPr>
          <w:rFonts w:ascii="Times New Roman" w:eastAsia="宋体" w:hAnsi="Times New Roman" w:cs="宋体" w:hint="eastAsia"/>
          <w:kern w:val="0"/>
          <w:sz w:val="24"/>
          <w:szCs w:val="24"/>
        </w:rPr>
        <w:t>②广东试点：</w:t>
      </w:r>
      <w:r>
        <w:rPr>
          <w:rFonts w:ascii="Times New Roman" w:eastAsia="宋体" w:hAnsi="Times New Roman" w:cs="Segoe UI" w:hint="eastAsia"/>
          <w:kern w:val="0"/>
          <w:sz w:val="24"/>
          <w:szCs w:val="24"/>
        </w:rPr>
        <w:t>试点运营可行性及合理性分析：从受极端天气影响角度出发，广东作为南方沿海省份，在每年的六月中上旬到十月中上旬，其多座城市会受到台风不同程度的影响，电力系统再次期间也很大可能会受到影响，强台风致使的电杆折断，电线拉断，电塔损坏，暴雨导致的电路短路，电气元件进水，设备受损等诸多问题都肯可能导致局部区域的断电。从电动汽车用电角度出发，广东省节假日车流量巨大，在</w:t>
      </w:r>
      <w:r>
        <w:rPr>
          <w:rFonts w:ascii="Times New Roman" w:eastAsia="宋体" w:hAnsi="Times New Roman" w:cs="Segoe UI" w:hint="eastAsia"/>
          <w:kern w:val="0"/>
          <w:sz w:val="24"/>
          <w:szCs w:val="24"/>
        </w:rPr>
        <w:lastRenderedPageBreak/>
        <w:t>2024</w:t>
      </w:r>
      <w:r>
        <w:rPr>
          <w:rFonts w:ascii="Times New Roman" w:eastAsia="宋体" w:hAnsi="Times New Roman" w:cs="Segoe UI" w:hint="eastAsia"/>
          <w:kern w:val="0"/>
          <w:sz w:val="24"/>
          <w:szCs w:val="24"/>
        </w:rPr>
        <w:t>年春节期间，广东省的车流量占全国的</w:t>
      </w:r>
      <w:r>
        <w:rPr>
          <w:rFonts w:ascii="Times New Roman" w:eastAsia="宋体" w:hAnsi="Times New Roman" w:cs="Segoe UI" w:hint="eastAsia"/>
          <w:kern w:val="0"/>
          <w:sz w:val="24"/>
          <w:szCs w:val="24"/>
        </w:rPr>
        <w:t>1/5</w:t>
      </w:r>
      <w:r>
        <w:rPr>
          <w:rFonts w:ascii="Times New Roman" w:eastAsia="宋体" w:hAnsi="Times New Roman" w:cs="Segoe UI" w:hint="eastAsia"/>
          <w:kern w:val="0"/>
          <w:sz w:val="24"/>
          <w:szCs w:val="24"/>
        </w:rPr>
        <w:t>。此外，粤港澳大湾区在节假日乃至周末期间，高速车流剧增，去年的中秋国庆假期该区车流量高达</w:t>
      </w:r>
      <w:r>
        <w:rPr>
          <w:rFonts w:ascii="Times New Roman" w:eastAsia="宋体" w:hAnsi="Times New Roman" w:cs="Segoe UI" w:hint="eastAsia"/>
          <w:kern w:val="0"/>
          <w:sz w:val="24"/>
          <w:szCs w:val="24"/>
        </w:rPr>
        <w:t>4567</w:t>
      </w:r>
      <w:r>
        <w:rPr>
          <w:rFonts w:ascii="Times New Roman" w:eastAsia="宋体" w:hAnsi="Times New Roman" w:cs="Segoe UI" w:hint="eastAsia"/>
          <w:kern w:val="0"/>
          <w:sz w:val="24"/>
          <w:szCs w:val="24"/>
        </w:rPr>
        <w:t>万车次。因此，节假日期间，相关各大充电站点均面临巨大的负载压力，超长的充电排队时间屡见不鲜。因此，将广东省作为试点前景十分可观。</w:t>
      </w:r>
    </w:p>
    <w:p w14:paraId="7767FC28" w14:textId="77777777" w:rsidR="006174B2" w:rsidRDefault="00000000">
      <w:pPr>
        <w:widowControl/>
        <w:shd w:val="clear" w:color="auto" w:fill="FDFDFE"/>
        <w:spacing w:beforeLines="50" w:before="156" w:afterLines="50" w:after="156"/>
        <w:jc w:val="left"/>
        <w:outlineLvl w:val="2"/>
        <w:rPr>
          <w:rFonts w:ascii="黑体" w:eastAsia="黑体" w:hAnsi="黑体" w:cs="黑体"/>
          <w:kern w:val="0"/>
          <w:sz w:val="24"/>
          <w:szCs w:val="24"/>
        </w:rPr>
      </w:pPr>
      <w:r>
        <w:rPr>
          <w:rFonts w:ascii="黑体" w:eastAsia="黑体" w:hAnsi="黑体" w:cs="黑体" w:hint="eastAsia"/>
          <w:kern w:val="0"/>
          <w:sz w:val="24"/>
          <w:szCs w:val="24"/>
        </w:rPr>
        <w:t>3.市场推广：</w:t>
      </w:r>
    </w:p>
    <w:p w14:paraId="6B418F3A" w14:textId="77777777" w:rsidR="006174B2" w:rsidRDefault="00000000">
      <w:pPr>
        <w:widowControl/>
        <w:shd w:val="clear" w:color="auto" w:fill="FDFDFE"/>
        <w:spacing w:line="360" w:lineRule="auto"/>
        <w:ind w:firstLineChars="200" w:firstLine="480"/>
        <w:jc w:val="left"/>
        <w:rPr>
          <w:rFonts w:ascii="Times New Roman" w:eastAsia="宋体" w:hAnsi="Times New Roman" w:cs="Segoe UI"/>
          <w:kern w:val="0"/>
          <w:sz w:val="24"/>
          <w:szCs w:val="24"/>
        </w:rPr>
      </w:pPr>
      <w:r>
        <w:rPr>
          <w:rFonts w:ascii="Times New Roman" w:eastAsia="宋体" w:hAnsi="Times New Roman" w:cs="Segoe UI" w:hint="eastAsia"/>
          <w:kern w:val="0"/>
          <w:sz w:val="24"/>
          <w:szCs w:val="24"/>
        </w:rPr>
        <w:t>通过线上线下相结合的方式进行市场推广，提高品牌知名度和市场占有率。</w:t>
      </w:r>
    </w:p>
    <w:p w14:paraId="4D209849" w14:textId="77777777" w:rsidR="006174B2" w:rsidRDefault="00000000">
      <w:pPr>
        <w:widowControl/>
        <w:shd w:val="clear" w:color="auto" w:fill="FDFDFE"/>
        <w:spacing w:beforeLines="50" w:before="156" w:afterLines="50" w:after="156"/>
        <w:jc w:val="left"/>
        <w:outlineLvl w:val="2"/>
        <w:rPr>
          <w:rFonts w:ascii="黑体" w:eastAsia="黑体" w:hAnsi="黑体" w:cs="黑体"/>
          <w:kern w:val="0"/>
          <w:sz w:val="24"/>
          <w:szCs w:val="24"/>
        </w:rPr>
      </w:pPr>
      <w:r>
        <w:rPr>
          <w:rFonts w:ascii="黑体" w:eastAsia="黑体" w:hAnsi="黑体" w:cs="黑体" w:hint="eastAsia"/>
          <w:kern w:val="0"/>
          <w:sz w:val="24"/>
          <w:szCs w:val="24"/>
        </w:rPr>
        <w:t>4.持续优化：</w:t>
      </w:r>
    </w:p>
    <w:p w14:paraId="767EF7DE" w14:textId="77777777" w:rsidR="006174B2" w:rsidRDefault="00000000">
      <w:pPr>
        <w:widowControl/>
        <w:shd w:val="clear" w:color="auto" w:fill="FDFDFE"/>
        <w:spacing w:line="360" w:lineRule="auto"/>
        <w:ind w:firstLineChars="200" w:firstLine="480"/>
        <w:jc w:val="left"/>
        <w:rPr>
          <w:rFonts w:ascii="黑体" w:eastAsia="黑体" w:hAnsi="黑体" w:cs="黑体"/>
          <w:bCs/>
          <w:kern w:val="0"/>
          <w:sz w:val="28"/>
          <w:szCs w:val="28"/>
        </w:rPr>
      </w:pPr>
      <w:r>
        <w:rPr>
          <w:rFonts w:ascii="Times New Roman" w:eastAsia="宋体" w:hAnsi="Times New Roman" w:cs="Segoe UI" w:hint="eastAsia"/>
          <w:kern w:val="0"/>
          <w:sz w:val="24"/>
          <w:szCs w:val="24"/>
        </w:rPr>
        <w:t>根据市场反馈和用户需求，持续进行产品迭代和服务优化。</w:t>
      </w:r>
    </w:p>
    <w:p w14:paraId="7FF7E732" w14:textId="77777777" w:rsidR="006174B2" w:rsidRDefault="00000000">
      <w:pPr>
        <w:pStyle w:val="2"/>
        <w:widowControl/>
        <w:numPr>
          <w:ilvl w:val="1"/>
          <w:numId w:val="0"/>
        </w:numPr>
        <w:shd w:val="clear" w:color="auto" w:fill="FDFDFE"/>
        <w:spacing w:beforeLines="50" w:before="156" w:afterLines="50" w:after="156"/>
        <w:ind w:left="363" w:hanging="363"/>
        <w:jc w:val="left"/>
        <w:outlineLvl w:val="1"/>
        <w:rPr>
          <w:rFonts w:ascii="黑体" w:eastAsia="黑体" w:hAnsi="黑体" w:cs="黑体"/>
          <w:bCs/>
          <w:kern w:val="0"/>
          <w:sz w:val="28"/>
          <w:szCs w:val="28"/>
        </w:rPr>
      </w:pPr>
      <w:bookmarkStart w:id="26" w:name="_Toc32594"/>
      <w:r>
        <w:rPr>
          <w:rFonts w:ascii="黑体" w:eastAsia="黑体" w:hAnsi="黑体" w:cs="黑体" w:hint="eastAsia"/>
          <w:bCs/>
          <w:kern w:val="0"/>
          <w:sz w:val="28"/>
          <w:szCs w:val="28"/>
        </w:rPr>
        <w:t>4.2营销策略</w:t>
      </w:r>
      <w:bookmarkEnd w:id="26"/>
    </w:p>
    <w:p w14:paraId="646D6A90" w14:textId="77777777" w:rsidR="006174B2" w:rsidRDefault="00000000">
      <w:pPr>
        <w:pStyle w:val="2"/>
        <w:widowControl/>
        <w:numPr>
          <w:ilvl w:val="1"/>
          <w:numId w:val="0"/>
        </w:numPr>
        <w:shd w:val="clear" w:color="auto" w:fill="FDFDFE"/>
        <w:spacing w:line="360" w:lineRule="auto"/>
        <w:ind w:firstLineChars="200" w:firstLine="480"/>
        <w:jc w:val="left"/>
        <w:rPr>
          <w:rFonts w:ascii="Times New Roman" w:eastAsia="宋体" w:hAnsi="Times New Roman"/>
          <w:sz w:val="24"/>
          <w:szCs w:val="24"/>
          <w:shd w:val="clear" w:color="auto" w:fill="FFFFFF"/>
        </w:rPr>
      </w:pPr>
      <w:r>
        <w:rPr>
          <w:rFonts w:ascii="Times New Roman" w:eastAsia="宋体" w:hAnsi="Times New Roman" w:hint="eastAsia"/>
          <w:sz w:val="24"/>
          <w:szCs w:val="24"/>
          <w:shd w:val="clear" w:color="auto" w:fill="FFFFFF"/>
        </w:rPr>
        <w:t>单纯依赖充电业务作为核心盈利模式，在现实中展现出显著的经济局限性与可持续性挑战理想化的成本回收周期，在受到市场竞争、设备维护成本、电力价格波动及用户采纳度等多重现实因素的冲击下，预期时间线将会大幅延长。因此，仅凭充电业务的收益，难以实现长期的盈利和稳定的发展。</w:t>
      </w:r>
    </w:p>
    <w:p w14:paraId="549E0AD3" w14:textId="77777777" w:rsidR="006174B2" w:rsidRDefault="00000000">
      <w:pPr>
        <w:spacing w:line="360" w:lineRule="auto"/>
        <w:ind w:firstLineChars="200" w:firstLine="480"/>
        <w:rPr>
          <w:rFonts w:ascii="Times New Roman" w:eastAsia="宋体" w:hAnsi="Times New Roman"/>
          <w:sz w:val="24"/>
          <w:szCs w:val="24"/>
          <w:shd w:val="clear" w:color="auto" w:fill="FFFFFF"/>
        </w:rPr>
      </w:pPr>
      <w:r>
        <w:rPr>
          <w:rFonts w:ascii="Times New Roman" w:eastAsia="宋体" w:hAnsi="Times New Roman" w:hint="eastAsia"/>
          <w:sz w:val="24"/>
          <w:szCs w:val="24"/>
          <w:shd w:val="clear" w:color="auto" w:fill="FFFFFF"/>
        </w:rPr>
        <w:t>在深入剖析成本结构时，我们发现市场公认的充电设施建设成本较高。具体而言，慢充公共充电桩的平均成本约为</w:t>
      </w:r>
      <w:r>
        <w:rPr>
          <w:rFonts w:ascii="Times New Roman" w:eastAsia="宋体" w:hAnsi="Times New Roman" w:hint="eastAsia"/>
          <w:sz w:val="24"/>
          <w:szCs w:val="24"/>
          <w:shd w:val="clear" w:color="auto" w:fill="FFFFFF"/>
        </w:rPr>
        <w:t>2</w:t>
      </w:r>
      <w:r>
        <w:rPr>
          <w:rFonts w:ascii="Times New Roman" w:eastAsia="宋体" w:hAnsi="Times New Roman" w:hint="eastAsia"/>
          <w:sz w:val="24"/>
          <w:szCs w:val="24"/>
          <w:shd w:val="clear" w:color="auto" w:fill="FFFFFF"/>
        </w:rPr>
        <w:t>万元，而快速充电桩的成本则在</w:t>
      </w:r>
      <w:r>
        <w:rPr>
          <w:rFonts w:ascii="Times New Roman" w:eastAsia="宋体" w:hAnsi="Times New Roman" w:hint="eastAsia"/>
          <w:sz w:val="24"/>
          <w:szCs w:val="24"/>
          <w:shd w:val="clear" w:color="auto" w:fill="FFFFFF"/>
        </w:rPr>
        <w:t>10</w:t>
      </w:r>
      <w:r>
        <w:rPr>
          <w:rFonts w:ascii="Times New Roman" w:eastAsia="宋体" w:hAnsi="Times New Roman" w:hint="eastAsia"/>
          <w:sz w:val="24"/>
          <w:szCs w:val="24"/>
          <w:shd w:val="clear" w:color="auto" w:fill="FFFFFF"/>
        </w:rPr>
        <w:t>万至</w:t>
      </w:r>
      <w:r>
        <w:rPr>
          <w:rFonts w:ascii="Times New Roman" w:eastAsia="宋体" w:hAnsi="Times New Roman" w:hint="eastAsia"/>
          <w:sz w:val="24"/>
          <w:szCs w:val="24"/>
          <w:shd w:val="clear" w:color="auto" w:fill="FFFFFF"/>
        </w:rPr>
        <w:t>20</w:t>
      </w:r>
      <w:r>
        <w:rPr>
          <w:rFonts w:ascii="Times New Roman" w:eastAsia="宋体" w:hAnsi="Times New Roman" w:hint="eastAsia"/>
          <w:sz w:val="24"/>
          <w:szCs w:val="24"/>
          <w:shd w:val="clear" w:color="auto" w:fill="FFFFFF"/>
        </w:rPr>
        <w:t>万元之间波动。对于拥有十余台充电桩的充电站而言，除土地费用外，还需考虑基础设施、配电设施及运营维护等费用，其总成本可能高达数百万元。然而，当前充电服务费的定价水平普遍在</w:t>
      </w:r>
      <w:r>
        <w:rPr>
          <w:rFonts w:ascii="Times New Roman" w:eastAsia="宋体" w:hAnsi="Times New Roman" w:hint="eastAsia"/>
          <w:sz w:val="24"/>
          <w:szCs w:val="24"/>
          <w:shd w:val="clear" w:color="auto" w:fill="FFFFFF"/>
        </w:rPr>
        <w:t>0.5</w:t>
      </w:r>
      <w:r>
        <w:rPr>
          <w:rFonts w:ascii="Times New Roman" w:eastAsia="宋体" w:hAnsi="Times New Roman" w:hint="eastAsia"/>
          <w:sz w:val="24"/>
          <w:szCs w:val="24"/>
          <w:shd w:val="clear" w:color="auto" w:fill="FFFFFF"/>
        </w:rPr>
        <w:t>至</w:t>
      </w:r>
      <w:r>
        <w:rPr>
          <w:rFonts w:ascii="Times New Roman" w:eastAsia="宋体" w:hAnsi="Times New Roman" w:hint="eastAsia"/>
          <w:sz w:val="24"/>
          <w:szCs w:val="24"/>
          <w:shd w:val="clear" w:color="auto" w:fill="FFFFFF"/>
        </w:rPr>
        <w:t>0.8</w:t>
      </w:r>
      <w:r>
        <w:rPr>
          <w:rFonts w:ascii="Times New Roman" w:eastAsia="宋体" w:hAnsi="Times New Roman" w:hint="eastAsia"/>
          <w:sz w:val="24"/>
          <w:szCs w:val="24"/>
          <w:shd w:val="clear" w:color="auto" w:fill="FFFFFF"/>
        </w:rPr>
        <w:t>元</w:t>
      </w:r>
      <w:r>
        <w:rPr>
          <w:rFonts w:ascii="Times New Roman" w:eastAsia="宋体" w:hAnsi="Times New Roman" w:hint="eastAsia"/>
          <w:sz w:val="24"/>
          <w:szCs w:val="24"/>
          <w:shd w:val="clear" w:color="auto" w:fill="FFFFFF"/>
        </w:rPr>
        <w:t>/</w:t>
      </w:r>
      <w:r>
        <w:rPr>
          <w:rFonts w:ascii="Times New Roman" w:eastAsia="宋体" w:hAnsi="Times New Roman" w:hint="eastAsia"/>
          <w:sz w:val="24"/>
          <w:szCs w:val="24"/>
          <w:shd w:val="clear" w:color="auto" w:fill="FFFFFF"/>
        </w:rPr>
        <w:t>度之间，这样的收益水平相较于巨大的投资成本，显然无法支撑短期内的成本回收和盈利目标的实现。</w:t>
      </w:r>
    </w:p>
    <w:p w14:paraId="4E122BCD" w14:textId="77777777" w:rsidR="006174B2" w:rsidRDefault="00000000">
      <w:pPr>
        <w:spacing w:line="360" w:lineRule="auto"/>
        <w:ind w:firstLineChars="200" w:firstLine="480"/>
        <w:rPr>
          <w:rFonts w:ascii="Times New Roman" w:eastAsia="宋体" w:hAnsi="Times New Roman"/>
          <w:sz w:val="24"/>
          <w:szCs w:val="24"/>
          <w:shd w:val="clear" w:color="auto" w:fill="FFFFFF"/>
        </w:rPr>
      </w:pPr>
      <w:r>
        <w:rPr>
          <w:rFonts w:ascii="Times New Roman" w:eastAsia="宋体" w:hAnsi="Times New Roman" w:hint="eastAsia"/>
          <w:sz w:val="24"/>
          <w:szCs w:val="24"/>
          <w:shd w:val="clear" w:color="auto" w:fill="FFFFFF"/>
        </w:rPr>
        <w:t>鉴于以上挑战，我们需着重解决两大核心问题：一是如何构建多元化的收益来源以保障公司的经济稳健性；二是如何提升品牌知名度以增强市场竞争力。这两个问题的解决，需要我们制定并实施专业且高效的营销策略。</w:t>
      </w:r>
      <w:proofErr w:type="gramStart"/>
      <w:r>
        <w:rPr>
          <w:rFonts w:ascii="Times New Roman" w:eastAsia="宋体" w:hAnsi="Times New Roman" w:hint="eastAsia"/>
          <w:sz w:val="24"/>
          <w:szCs w:val="24"/>
          <w:shd w:val="clear" w:color="auto" w:fill="FFFFFF"/>
        </w:rPr>
        <w:t>揆</w:t>
      </w:r>
      <w:proofErr w:type="gramEnd"/>
      <w:r>
        <w:rPr>
          <w:rFonts w:ascii="Times New Roman" w:eastAsia="宋体" w:hAnsi="Times New Roman" w:hint="eastAsia"/>
          <w:sz w:val="24"/>
          <w:szCs w:val="24"/>
          <w:shd w:val="clear" w:color="auto" w:fill="FFFFFF"/>
        </w:rPr>
        <w:t>诸全局，我们将采取包括与产业链上下游企业建立战略合作关系、开展精准的市场推广活动、优化用户体验以提升客户黏性、以及通过技术创新和服务升级提升品牌价值等在内的多元化策略。通过这些措施，我们期望在扩大市场份额的同时，进一步提升品牌影响力，从而实现公司的长期稳定发展。</w:t>
      </w:r>
    </w:p>
    <w:p w14:paraId="2A272793" w14:textId="77777777" w:rsidR="006174B2" w:rsidRDefault="00000000">
      <w:pPr>
        <w:spacing w:line="360" w:lineRule="auto"/>
        <w:ind w:firstLineChars="200" w:firstLine="480"/>
        <w:rPr>
          <w:rFonts w:ascii="宋体" w:eastAsia="宋体" w:hAnsi="宋体"/>
          <w:sz w:val="24"/>
          <w:szCs w:val="24"/>
          <w:shd w:val="clear" w:color="auto" w:fill="FFFFFF"/>
        </w:rPr>
      </w:pPr>
      <w:r>
        <w:rPr>
          <w:rFonts w:ascii="Times New Roman" w:eastAsia="宋体" w:hAnsi="Times New Roman" w:hint="eastAsia"/>
          <w:sz w:val="24"/>
          <w:szCs w:val="24"/>
          <w:shd w:val="clear" w:color="auto" w:fill="FFFFFF"/>
        </w:rPr>
        <w:t>为此，我司提出以下五点营销策略：</w:t>
      </w:r>
    </w:p>
    <w:p w14:paraId="3B25EC8C" w14:textId="77777777" w:rsidR="006174B2" w:rsidRDefault="00000000">
      <w:pPr>
        <w:widowControl/>
        <w:shd w:val="clear" w:color="auto" w:fill="FDFDFE"/>
        <w:spacing w:beforeLines="50" w:before="156" w:afterLines="50" w:after="156"/>
        <w:jc w:val="left"/>
        <w:outlineLvl w:val="2"/>
        <w:rPr>
          <w:rFonts w:ascii="黑体" w:eastAsia="黑体" w:hAnsi="黑体" w:cs="黑体"/>
          <w:kern w:val="0"/>
          <w:sz w:val="24"/>
          <w:szCs w:val="24"/>
        </w:rPr>
      </w:pPr>
      <w:r>
        <w:rPr>
          <w:rFonts w:ascii="黑体" w:eastAsia="黑体" w:hAnsi="黑体" w:cs="黑体" w:hint="eastAsia"/>
          <w:kern w:val="0"/>
          <w:sz w:val="24"/>
          <w:szCs w:val="24"/>
        </w:rPr>
        <w:t>1.产品优势：</w:t>
      </w:r>
    </w:p>
    <w:p w14:paraId="38F08EE7" w14:textId="77777777" w:rsidR="006174B2" w:rsidRDefault="00000000">
      <w:pPr>
        <w:widowControl/>
        <w:shd w:val="clear" w:color="auto" w:fill="FDFDFE"/>
        <w:spacing w:line="360" w:lineRule="auto"/>
        <w:ind w:firstLineChars="200" w:firstLine="480"/>
        <w:jc w:val="left"/>
        <w:rPr>
          <w:rFonts w:ascii="PingFang-SC-Regular" w:eastAsia="宋体" w:hAnsi="PingFang-SC-Regular" w:cs="Segoe UI" w:hint="eastAsia"/>
          <w:kern w:val="0"/>
          <w:sz w:val="24"/>
          <w:szCs w:val="24"/>
        </w:rPr>
      </w:pPr>
      <w:r>
        <w:rPr>
          <w:rFonts w:ascii="宋体" w:eastAsia="宋体" w:hAnsi="宋体" w:cs="Segoe UI"/>
          <w:kern w:val="0"/>
          <w:sz w:val="24"/>
          <w:szCs w:val="24"/>
        </w:rPr>
        <w:lastRenderedPageBreak/>
        <w:t>随着电动汽车市场的持续扩张与旅游热潮的兴起，假期旅游景点的充电需求激增。然而，当前众多旅游景点的充电桩配备不足，难以满足游客的充电需求，因充电桩而起的冲突事件时有发生，甚至造成了一定的社会影响。针对这一现状，我公司研发的移动机器人充电桩凭借其出色的移动性与高效充电性能，为市场提供了切实可行的解决方案。将移动机器人充电桩引入旅游景点，不仅能为游客提供便捷、高效的充电服务，更成为我们公司拓展市场、提升品牌影响力的重要抓手。</w:t>
      </w:r>
    </w:p>
    <w:p w14:paraId="7FA6F7CD" w14:textId="77777777" w:rsidR="006174B2" w:rsidRDefault="00000000">
      <w:pPr>
        <w:widowControl/>
        <w:shd w:val="clear" w:color="auto" w:fill="FDFDFE"/>
        <w:spacing w:beforeLines="50" w:before="156" w:afterLines="50" w:after="156"/>
        <w:jc w:val="left"/>
        <w:outlineLvl w:val="2"/>
        <w:rPr>
          <w:rFonts w:ascii="黑体" w:eastAsia="黑体" w:hAnsi="黑体" w:cs="黑体"/>
          <w:kern w:val="0"/>
          <w:sz w:val="24"/>
          <w:szCs w:val="24"/>
        </w:rPr>
      </w:pPr>
      <w:r>
        <w:rPr>
          <w:rFonts w:ascii="黑体" w:eastAsia="黑体" w:hAnsi="黑体" w:cs="黑体" w:hint="eastAsia"/>
          <w:kern w:val="0"/>
          <w:sz w:val="24"/>
          <w:szCs w:val="24"/>
        </w:rPr>
        <w:t>2.合作共赢：</w:t>
      </w:r>
    </w:p>
    <w:p w14:paraId="437D630A" w14:textId="77777777" w:rsidR="006174B2" w:rsidRDefault="00000000">
      <w:pPr>
        <w:widowControl/>
        <w:shd w:val="clear" w:color="auto" w:fill="FDFDFE"/>
        <w:spacing w:line="360" w:lineRule="auto"/>
        <w:ind w:firstLineChars="200" w:firstLine="480"/>
        <w:jc w:val="left"/>
        <w:rPr>
          <w:rFonts w:ascii="PingFang-SC-Regular" w:eastAsia="宋体" w:hAnsi="PingFang-SC-Regular" w:cs="Segoe UI" w:hint="eastAsia"/>
          <w:kern w:val="0"/>
          <w:sz w:val="24"/>
          <w:szCs w:val="24"/>
        </w:rPr>
      </w:pPr>
      <w:r>
        <w:rPr>
          <w:rFonts w:ascii="宋体" w:eastAsia="宋体" w:hAnsi="宋体" w:cs="Segoe UI"/>
          <w:kern w:val="0"/>
          <w:sz w:val="24"/>
          <w:szCs w:val="24"/>
        </w:rPr>
        <w:t>在合作方面，我们积极寻求与行业内外的领军企业建立战略合作关系。通过产品互换、签署合作协议等方式，我们与合作伙伴共同分享资源、互利共赢。这种合作模式不仅有助于稳定公司的经济收入来源，更能通过双方的资源整合，共同开拓市场，提升各自在行业内的地位与影响力。此外，我们还特别重视与高校和电网的战略合作。通过与高校合作，我们引进先进的研发技术和人才，推动产品的持续创新；与电网的合作则确保了我们能够稳定、高效地获取电力资源，为充电服务的可靠性提供了有力保障。</w:t>
      </w:r>
    </w:p>
    <w:p w14:paraId="3C4D624E" w14:textId="77777777" w:rsidR="006174B2" w:rsidRDefault="00000000">
      <w:pPr>
        <w:widowControl/>
        <w:shd w:val="clear" w:color="auto" w:fill="FDFDFE"/>
        <w:spacing w:beforeLines="50" w:before="156" w:afterLines="50" w:after="156"/>
        <w:jc w:val="left"/>
        <w:outlineLvl w:val="2"/>
        <w:rPr>
          <w:rFonts w:ascii="黑体" w:eastAsia="黑体" w:hAnsi="黑体" w:cs="黑体"/>
          <w:kern w:val="0"/>
          <w:sz w:val="24"/>
          <w:szCs w:val="24"/>
        </w:rPr>
      </w:pPr>
      <w:r>
        <w:rPr>
          <w:rFonts w:ascii="黑体" w:eastAsia="黑体" w:hAnsi="黑体" w:cs="黑体" w:hint="eastAsia"/>
          <w:kern w:val="0"/>
          <w:sz w:val="24"/>
          <w:szCs w:val="24"/>
        </w:rPr>
        <w:t>3.多元互利：</w:t>
      </w:r>
    </w:p>
    <w:p w14:paraId="7FC124D9" w14:textId="77777777" w:rsidR="006174B2" w:rsidRDefault="00000000">
      <w:pPr>
        <w:widowControl/>
        <w:shd w:val="clear" w:color="auto" w:fill="FDFDFE"/>
        <w:spacing w:line="360" w:lineRule="auto"/>
        <w:ind w:firstLineChars="200" w:firstLine="480"/>
        <w:jc w:val="left"/>
        <w:rPr>
          <w:rFonts w:ascii="PingFang-SC-Regular" w:eastAsia="宋体" w:hAnsi="PingFang-SC-Regular" w:cs="Segoe UI" w:hint="eastAsia"/>
          <w:kern w:val="0"/>
          <w:sz w:val="24"/>
          <w:szCs w:val="24"/>
        </w:rPr>
      </w:pPr>
      <w:r>
        <w:rPr>
          <w:rFonts w:ascii="宋体" w:eastAsia="宋体" w:hAnsi="宋体" w:cs="Segoe UI"/>
          <w:kern w:val="0"/>
          <w:sz w:val="24"/>
          <w:szCs w:val="24"/>
        </w:rPr>
        <w:t>我们致力于构建多元化的互利共赢生态，与充电</w:t>
      </w:r>
      <w:proofErr w:type="gramStart"/>
      <w:r>
        <w:rPr>
          <w:rFonts w:ascii="宋体" w:eastAsia="宋体" w:hAnsi="宋体" w:cs="Segoe UI"/>
          <w:kern w:val="0"/>
          <w:sz w:val="24"/>
          <w:szCs w:val="24"/>
        </w:rPr>
        <w:t>桩产业</w:t>
      </w:r>
      <w:proofErr w:type="gramEnd"/>
      <w:r>
        <w:rPr>
          <w:rFonts w:ascii="宋体" w:eastAsia="宋体" w:hAnsi="宋体" w:cs="Segoe UI"/>
          <w:kern w:val="0"/>
          <w:sz w:val="24"/>
          <w:szCs w:val="24"/>
        </w:rPr>
        <w:t>链上下游企业建立紧密的合作关系。通过在我公司平台上展示广告、提供增值服务等方式，我们与合作伙伴共同分享市场红利，实现共同发展。这种多元互利的策略不仅拓宽了公司的盈利渠道，更通过资源共享、优势互补，推动了整个行业的健康发展。</w:t>
      </w:r>
    </w:p>
    <w:p w14:paraId="2FAF82DB" w14:textId="77777777" w:rsidR="006174B2" w:rsidRDefault="00000000">
      <w:pPr>
        <w:widowControl/>
        <w:shd w:val="clear" w:color="auto" w:fill="FDFDFE"/>
        <w:spacing w:beforeLines="50" w:before="156" w:afterLines="50" w:after="156"/>
        <w:jc w:val="left"/>
        <w:outlineLvl w:val="2"/>
        <w:rPr>
          <w:rFonts w:ascii="黑体" w:eastAsia="黑体" w:hAnsi="黑体" w:cs="黑体"/>
          <w:kern w:val="0"/>
          <w:sz w:val="24"/>
          <w:szCs w:val="24"/>
        </w:rPr>
      </w:pPr>
      <w:r>
        <w:rPr>
          <w:rFonts w:ascii="黑体" w:eastAsia="黑体" w:hAnsi="黑体" w:cs="黑体" w:hint="eastAsia"/>
          <w:kern w:val="0"/>
          <w:sz w:val="24"/>
          <w:szCs w:val="24"/>
        </w:rPr>
        <w:t>4.一物多用：</w:t>
      </w:r>
    </w:p>
    <w:p w14:paraId="7B3BE64B" w14:textId="77777777" w:rsidR="006174B2" w:rsidRDefault="00000000">
      <w:pPr>
        <w:widowControl/>
        <w:shd w:val="clear" w:color="auto" w:fill="FDFDFE"/>
        <w:spacing w:line="360" w:lineRule="auto"/>
        <w:ind w:firstLineChars="200" w:firstLine="480"/>
        <w:jc w:val="left"/>
        <w:rPr>
          <w:rFonts w:ascii="PingFang-SC-Regular" w:eastAsia="宋体" w:hAnsi="PingFang-SC-Regular" w:cs="Segoe UI" w:hint="eastAsia"/>
          <w:kern w:val="0"/>
          <w:sz w:val="24"/>
          <w:szCs w:val="24"/>
        </w:rPr>
      </w:pPr>
      <w:r>
        <w:rPr>
          <w:rFonts w:ascii="宋体" w:eastAsia="宋体" w:hAnsi="宋体" w:cs="Segoe UI"/>
          <w:kern w:val="0"/>
          <w:sz w:val="24"/>
          <w:szCs w:val="24"/>
        </w:rPr>
        <w:t>在移动机器人充电桩的闲置时段，我们积极探索其潜在的经济价值。通过出租闲置机器人给工厂、仓库等场所，用于物料搬运、货物分拣等任务，我们实现了资源的最大化利用。此外，我们还与商业合作伙伴合作，将机器人引入商场、展会等场所，提供导</w:t>
      </w:r>
      <w:proofErr w:type="gramStart"/>
      <w:r>
        <w:rPr>
          <w:rFonts w:ascii="宋体" w:eastAsia="宋体" w:hAnsi="宋体" w:cs="Segoe UI"/>
          <w:kern w:val="0"/>
          <w:sz w:val="24"/>
          <w:szCs w:val="24"/>
        </w:rPr>
        <w:t>览</w:t>
      </w:r>
      <w:proofErr w:type="gramEnd"/>
      <w:r>
        <w:rPr>
          <w:rFonts w:ascii="宋体" w:eastAsia="宋体" w:hAnsi="宋体" w:cs="Segoe UI"/>
          <w:kern w:val="0"/>
          <w:sz w:val="24"/>
          <w:szCs w:val="24"/>
        </w:rPr>
        <w:t>、宣传等增值服务。这种一物多用的策略不仅提高了机器人的使用效率，更为公司带来了额外的经济收益。</w:t>
      </w:r>
    </w:p>
    <w:p w14:paraId="43FECA2D" w14:textId="77777777" w:rsidR="006174B2" w:rsidRDefault="00000000">
      <w:pPr>
        <w:widowControl/>
        <w:shd w:val="clear" w:color="auto" w:fill="FDFDFE"/>
        <w:spacing w:beforeLines="50" w:before="156" w:afterLines="50" w:after="156"/>
        <w:jc w:val="left"/>
        <w:outlineLvl w:val="2"/>
        <w:rPr>
          <w:rFonts w:ascii="黑体" w:eastAsia="黑体" w:hAnsi="黑体" w:cs="黑体"/>
          <w:kern w:val="0"/>
          <w:sz w:val="24"/>
          <w:szCs w:val="24"/>
        </w:rPr>
      </w:pPr>
      <w:r>
        <w:rPr>
          <w:rFonts w:ascii="黑体" w:eastAsia="黑体" w:hAnsi="黑体" w:cs="黑体" w:hint="eastAsia"/>
          <w:kern w:val="0"/>
          <w:sz w:val="24"/>
          <w:szCs w:val="24"/>
        </w:rPr>
        <w:t>5.可靠的营销模式：</w:t>
      </w:r>
    </w:p>
    <w:p w14:paraId="209EEECD" w14:textId="77777777" w:rsidR="006174B2" w:rsidRDefault="00000000">
      <w:pPr>
        <w:widowControl/>
        <w:shd w:val="clear" w:color="auto" w:fill="FDFDFE"/>
        <w:spacing w:line="360" w:lineRule="auto"/>
        <w:ind w:firstLineChars="200" w:firstLine="480"/>
        <w:jc w:val="left"/>
        <w:rPr>
          <w:rFonts w:ascii="宋体" w:eastAsia="宋体" w:hAnsi="宋体" w:cs="Segoe UI"/>
          <w:kern w:val="0"/>
          <w:sz w:val="24"/>
          <w:szCs w:val="24"/>
        </w:rPr>
      </w:pPr>
      <w:r>
        <w:rPr>
          <w:rFonts w:ascii="宋体" w:eastAsia="宋体" w:hAnsi="宋体" w:cs="Segoe UI"/>
          <w:kern w:val="0"/>
          <w:sz w:val="24"/>
          <w:szCs w:val="24"/>
        </w:rPr>
        <w:t>我们深知在竞争激烈的市场环境中，可靠的营销模式对于公司的长远发展至关重要。因此，我们注重构建以客户需求为导向的营销策略，通过深入了解市场趋势和客</w:t>
      </w:r>
      <w:r>
        <w:rPr>
          <w:rFonts w:ascii="宋体" w:eastAsia="宋体" w:hAnsi="宋体" w:cs="Segoe UI"/>
          <w:kern w:val="0"/>
          <w:sz w:val="24"/>
          <w:szCs w:val="24"/>
        </w:rPr>
        <w:lastRenderedPageBreak/>
        <w:t>户需求，提供定制化、个性化的充电服务解决方案。同时，我们积极利用互联网、大数据等先进技术，开展线上线下相结合的营销活动，提升品牌知名度和客户黏性。通过这种可靠的营销模式，我们成功吸引了大量忠实客户，为公司的持续发展奠定了坚实基础。</w:t>
      </w:r>
    </w:p>
    <w:p w14:paraId="0C3BE8C5" w14:textId="77777777" w:rsidR="006174B2" w:rsidRDefault="00000000">
      <w:pPr>
        <w:widowControl/>
        <w:shd w:val="clear" w:color="auto" w:fill="FDFDFE"/>
        <w:jc w:val="center"/>
        <w:rPr>
          <w:rFonts w:ascii="宋体" w:eastAsia="宋体" w:hAnsi="宋体" w:cs="Segoe UI"/>
          <w:kern w:val="0"/>
          <w:sz w:val="24"/>
          <w:szCs w:val="24"/>
        </w:rPr>
      </w:pPr>
      <w:r>
        <w:rPr>
          <w:rFonts w:ascii="宋体" w:eastAsia="宋体" w:hAnsi="宋体" w:cs="Segoe UI" w:hint="eastAsia"/>
          <w:noProof/>
          <w:kern w:val="0"/>
          <w:sz w:val="24"/>
          <w:szCs w:val="24"/>
        </w:rPr>
        <w:drawing>
          <wp:inline distT="0" distB="0" distL="114300" distR="114300" wp14:anchorId="0B3C6C21" wp14:editId="280CF373">
            <wp:extent cx="4792980" cy="2160270"/>
            <wp:effectExtent l="0" t="0" r="0" b="0"/>
            <wp:docPr id="6" name="图片 6" descr="webwxgetmsgimg (1)"/>
            <wp:cNvGraphicFramePr/>
            <a:graphic xmlns:a="http://schemas.openxmlformats.org/drawingml/2006/main">
              <a:graphicData uri="http://schemas.openxmlformats.org/drawingml/2006/picture">
                <pic:pic xmlns:pic="http://schemas.openxmlformats.org/drawingml/2006/picture">
                  <pic:nvPicPr>
                    <pic:cNvPr id="6" name="图片 6" descr="webwxgetmsgimg (1)"/>
                    <pic:cNvPicPr/>
                  </pic:nvPicPr>
                  <pic:blipFill>
                    <a:blip r:embed="rId10"/>
                    <a:srcRect r="7996"/>
                    <a:stretch>
                      <a:fillRect/>
                    </a:stretch>
                  </pic:blipFill>
                  <pic:spPr>
                    <a:xfrm>
                      <a:off x="0" y="0"/>
                      <a:ext cx="4792980" cy="2160270"/>
                    </a:xfrm>
                    <a:prstGeom prst="rect">
                      <a:avLst/>
                    </a:prstGeom>
                  </pic:spPr>
                </pic:pic>
              </a:graphicData>
            </a:graphic>
          </wp:inline>
        </w:drawing>
      </w:r>
    </w:p>
    <w:p w14:paraId="715D8D2E" w14:textId="77777777" w:rsidR="006174B2" w:rsidRDefault="00000000">
      <w:pPr>
        <w:widowControl/>
        <w:shd w:val="clear" w:color="auto" w:fill="FDFDFE"/>
        <w:spacing w:line="360" w:lineRule="auto"/>
        <w:ind w:firstLineChars="200" w:firstLine="422"/>
        <w:jc w:val="center"/>
        <w:rPr>
          <w:rFonts w:ascii="Times New Roman" w:eastAsia="宋体" w:hAnsi="Times New Roman" w:cs="Segoe UI"/>
          <w:b/>
          <w:bCs/>
          <w:kern w:val="0"/>
        </w:rPr>
      </w:pPr>
      <w:r>
        <w:rPr>
          <w:rFonts w:ascii="Times New Roman" w:eastAsia="宋体" w:hAnsi="Times New Roman" w:cs="Segoe UI" w:hint="eastAsia"/>
          <w:b/>
          <w:bCs/>
          <w:kern w:val="0"/>
        </w:rPr>
        <w:t>图</w:t>
      </w:r>
      <w:r>
        <w:rPr>
          <w:rFonts w:ascii="Times New Roman" w:eastAsia="宋体" w:hAnsi="Times New Roman" w:cs="Segoe UI" w:hint="eastAsia"/>
          <w:b/>
          <w:bCs/>
          <w:kern w:val="0"/>
        </w:rPr>
        <w:t xml:space="preserve"> 2 </w:t>
      </w:r>
      <w:r>
        <w:rPr>
          <w:rFonts w:ascii="Times New Roman" w:eastAsia="宋体" w:hAnsi="Times New Roman" w:cs="Segoe UI" w:hint="eastAsia"/>
          <w:b/>
          <w:bCs/>
          <w:kern w:val="0"/>
        </w:rPr>
        <w:t>：运营模式</w:t>
      </w:r>
    </w:p>
    <w:p w14:paraId="2CFDFFB8" w14:textId="77777777" w:rsidR="006174B2" w:rsidRDefault="006174B2">
      <w:pPr>
        <w:widowControl/>
        <w:shd w:val="clear" w:color="auto" w:fill="FDFDFE"/>
        <w:spacing w:line="360" w:lineRule="auto"/>
        <w:ind w:firstLineChars="200" w:firstLine="640"/>
        <w:jc w:val="center"/>
        <w:rPr>
          <w:rFonts w:ascii="黑体" w:eastAsia="黑体" w:hAnsi="黑体" w:cs="黑体"/>
          <w:kern w:val="0"/>
          <w:sz w:val="32"/>
          <w:szCs w:val="32"/>
        </w:rPr>
      </w:pPr>
    </w:p>
    <w:p w14:paraId="2747FFCD" w14:textId="77777777" w:rsidR="006174B2" w:rsidRDefault="00000000">
      <w:pPr>
        <w:widowControl/>
        <w:shd w:val="clear" w:color="auto" w:fill="FDFDFE"/>
        <w:spacing w:line="360" w:lineRule="auto"/>
        <w:ind w:firstLineChars="200" w:firstLine="640"/>
        <w:jc w:val="center"/>
        <w:rPr>
          <w:rFonts w:ascii="黑体" w:eastAsia="黑体" w:hAnsi="黑体" w:cs="黑体"/>
          <w:kern w:val="0"/>
          <w:sz w:val="32"/>
          <w:szCs w:val="32"/>
        </w:rPr>
      </w:pPr>
      <w:r>
        <w:rPr>
          <w:rFonts w:ascii="黑体" w:eastAsia="黑体" w:hAnsi="黑体" w:cs="黑体" w:hint="eastAsia"/>
          <w:kern w:val="0"/>
          <w:sz w:val="32"/>
          <w:szCs w:val="32"/>
        </w:rPr>
        <w:t>五、团队组成与管理</w:t>
      </w:r>
    </w:p>
    <w:p w14:paraId="102D19AB" w14:textId="77777777" w:rsidR="006174B2" w:rsidRDefault="00000000">
      <w:pPr>
        <w:widowControl/>
        <w:shd w:val="clear" w:color="auto" w:fill="FDFDFE"/>
        <w:spacing w:beforeLines="50" w:before="156" w:afterLines="50" w:after="156"/>
        <w:jc w:val="left"/>
        <w:outlineLvl w:val="1"/>
        <w:rPr>
          <w:rFonts w:ascii="黑体" w:eastAsia="黑体" w:hAnsi="黑体" w:cs="黑体"/>
          <w:kern w:val="0"/>
          <w:sz w:val="28"/>
          <w:szCs w:val="28"/>
        </w:rPr>
      </w:pPr>
      <w:bookmarkStart w:id="27" w:name="_Toc29715"/>
      <w:r>
        <w:rPr>
          <w:rFonts w:ascii="黑体" w:eastAsia="黑体" w:hAnsi="黑体" w:cs="黑体" w:hint="eastAsia"/>
          <w:kern w:val="0"/>
          <w:sz w:val="28"/>
          <w:szCs w:val="28"/>
        </w:rPr>
        <w:t>5.1 团队组成</w:t>
      </w:r>
      <w:bookmarkEnd w:id="27"/>
    </w:p>
    <w:p w14:paraId="2D3E5F75" w14:textId="77777777" w:rsidR="006174B2" w:rsidRDefault="00000000">
      <w:pPr>
        <w:widowControl/>
        <w:shd w:val="clear" w:color="auto" w:fill="FDFDFE"/>
        <w:spacing w:beforeLines="50" w:before="156" w:afterLines="50" w:after="156"/>
        <w:jc w:val="left"/>
        <w:outlineLvl w:val="2"/>
        <w:rPr>
          <w:rFonts w:ascii="宋体" w:eastAsia="宋体" w:hAnsi="宋体" w:cs="Segoe UI"/>
          <w:kern w:val="0"/>
          <w:sz w:val="23"/>
          <w:szCs w:val="23"/>
        </w:rPr>
      </w:pPr>
      <w:r>
        <w:rPr>
          <w:rFonts w:ascii="黑体" w:eastAsia="黑体" w:hAnsi="黑体" w:cs="黑体" w:hint="eastAsia"/>
          <w:kern w:val="0"/>
          <w:sz w:val="24"/>
          <w:szCs w:val="24"/>
        </w:rPr>
        <w:t>1.高层管理团队：</w:t>
      </w:r>
    </w:p>
    <w:p w14:paraId="4CE0D708" w14:textId="77777777" w:rsidR="006174B2" w:rsidRDefault="00000000">
      <w:pPr>
        <w:widowControl/>
        <w:shd w:val="clear" w:color="auto" w:fill="FDFDFE"/>
        <w:spacing w:line="360" w:lineRule="auto"/>
        <w:ind w:firstLineChars="200" w:firstLine="480"/>
        <w:jc w:val="left"/>
        <w:rPr>
          <w:rFonts w:ascii="宋体" w:eastAsia="宋体" w:hAnsi="宋体" w:cs="Segoe UI"/>
          <w:kern w:val="0"/>
          <w:sz w:val="24"/>
          <w:szCs w:val="24"/>
        </w:rPr>
      </w:pPr>
      <w:r>
        <w:rPr>
          <w:rFonts w:ascii="宋体" w:eastAsia="宋体" w:hAnsi="宋体" w:cs="Segoe UI" w:hint="eastAsia"/>
          <w:kern w:val="0"/>
          <w:sz w:val="24"/>
          <w:szCs w:val="24"/>
        </w:rPr>
        <w:t>本公司高层管理团队具备深刻的技术洞察力，凭借丰富的管理经验与前瞻的战略眼光，始终秉持服务国家、回馈社会的崇高使命，为公司提供稳健的战略指引，确保发展方向的正确性。</w:t>
      </w:r>
    </w:p>
    <w:p w14:paraId="68A62B57" w14:textId="77777777" w:rsidR="006174B2" w:rsidRDefault="00000000">
      <w:pPr>
        <w:widowControl/>
        <w:shd w:val="clear" w:color="auto" w:fill="FDFDFE"/>
        <w:spacing w:beforeLines="50" w:before="156" w:afterLines="50" w:after="156"/>
        <w:jc w:val="left"/>
        <w:outlineLvl w:val="2"/>
        <w:rPr>
          <w:rFonts w:ascii="黑体" w:eastAsia="黑体" w:hAnsi="黑体" w:cs="黑体"/>
          <w:kern w:val="0"/>
          <w:sz w:val="24"/>
          <w:szCs w:val="24"/>
        </w:rPr>
      </w:pPr>
      <w:r>
        <w:rPr>
          <w:rFonts w:ascii="黑体" w:eastAsia="黑体" w:hAnsi="黑体" w:cs="黑体" w:hint="eastAsia"/>
          <w:kern w:val="0"/>
          <w:sz w:val="24"/>
          <w:szCs w:val="24"/>
        </w:rPr>
        <w:t>2.算法工程师团队：</w:t>
      </w:r>
    </w:p>
    <w:p w14:paraId="49D995DA" w14:textId="77777777" w:rsidR="006174B2" w:rsidRDefault="00000000">
      <w:pPr>
        <w:widowControl/>
        <w:shd w:val="clear" w:color="auto" w:fill="FDFDFE"/>
        <w:spacing w:line="360" w:lineRule="auto"/>
        <w:ind w:firstLineChars="200" w:firstLine="480"/>
        <w:jc w:val="left"/>
        <w:rPr>
          <w:rFonts w:ascii="宋体" w:eastAsia="宋体" w:hAnsi="宋体" w:cs="Segoe UI"/>
          <w:kern w:val="0"/>
          <w:sz w:val="24"/>
          <w:szCs w:val="24"/>
        </w:rPr>
      </w:pPr>
      <w:r>
        <w:rPr>
          <w:rFonts w:ascii="宋体" w:eastAsia="宋体" w:hAnsi="宋体" w:cs="Segoe UI" w:hint="eastAsia"/>
          <w:kern w:val="0"/>
          <w:sz w:val="24"/>
          <w:szCs w:val="24"/>
        </w:rPr>
        <w:t>公司拥有创新能力卓越的算法工程师团队，他们持续优化并革新公司算法，展现出极强的执行能力，有效提升了送电路径的精准性与效率。</w:t>
      </w:r>
    </w:p>
    <w:p w14:paraId="3B569F97" w14:textId="77777777" w:rsidR="006174B2" w:rsidRDefault="00000000">
      <w:pPr>
        <w:widowControl/>
        <w:shd w:val="clear" w:color="auto" w:fill="FDFDFE"/>
        <w:spacing w:beforeLines="50" w:before="156" w:afterLines="50" w:after="156"/>
        <w:jc w:val="left"/>
        <w:outlineLvl w:val="2"/>
        <w:rPr>
          <w:rFonts w:ascii="黑体" w:eastAsia="黑体" w:hAnsi="黑体" w:cs="黑体"/>
          <w:kern w:val="0"/>
          <w:sz w:val="24"/>
          <w:szCs w:val="24"/>
        </w:rPr>
      </w:pPr>
      <w:r>
        <w:rPr>
          <w:rFonts w:ascii="黑体" w:eastAsia="黑体" w:hAnsi="黑体" w:cs="黑体" w:hint="eastAsia"/>
          <w:kern w:val="0"/>
          <w:sz w:val="24"/>
          <w:szCs w:val="24"/>
        </w:rPr>
        <w:t>3.财务部门：</w:t>
      </w:r>
    </w:p>
    <w:p w14:paraId="05354411" w14:textId="77777777" w:rsidR="006174B2" w:rsidRDefault="00000000">
      <w:pPr>
        <w:widowControl/>
        <w:shd w:val="clear" w:color="auto" w:fill="FDFDFE"/>
        <w:spacing w:line="360" w:lineRule="auto"/>
        <w:ind w:firstLineChars="200" w:firstLine="480"/>
        <w:jc w:val="left"/>
        <w:rPr>
          <w:rFonts w:ascii="宋体" w:eastAsia="宋体" w:hAnsi="宋体" w:cs="Segoe UI"/>
          <w:kern w:val="0"/>
          <w:sz w:val="24"/>
          <w:szCs w:val="24"/>
        </w:rPr>
      </w:pPr>
      <w:r>
        <w:rPr>
          <w:rFonts w:ascii="宋体" w:eastAsia="宋体" w:hAnsi="宋体" w:cs="Segoe UI" w:hint="eastAsia"/>
          <w:kern w:val="0"/>
          <w:sz w:val="24"/>
          <w:szCs w:val="24"/>
        </w:rPr>
        <w:t>公司财务团队具备高度专业化，精通最新的财务法规与行业标准，能够精准高效地履行财务职能，推动业务流程的标准化与信息化进程。</w:t>
      </w:r>
    </w:p>
    <w:p w14:paraId="6780FC57" w14:textId="77777777" w:rsidR="006174B2" w:rsidRDefault="00000000">
      <w:pPr>
        <w:widowControl/>
        <w:shd w:val="clear" w:color="auto" w:fill="FDFDFE"/>
        <w:spacing w:beforeLines="50" w:before="156" w:afterLines="50" w:after="156"/>
        <w:jc w:val="left"/>
        <w:outlineLvl w:val="2"/>
        <w:rPr>
          <w:rFonts w:ascii="黑体" w:eastAsia="黑体" w:hAnsi="黑体" w:cs="黑体"/>
          <w:kern w:val="0"/>
          <w:sz w:val="24"/>
          <w:szCs w:val="24"/>
        </w:rPr>
      </w:pPr>
      <w:r>
        <w:rPr>
          <w:rFonts w:ascii="黑体" w:eastAsia="黑体" w:hAnsi="黑体" w:cs="黑体" w:hint="eastAsia"/>
          <w:kern w:val="0"/>
          <w:sz w:val="24"/>
          <w:szCs w:val="24"/>
        </w:rPr>
        <w:t>4.法</w:t>
      </w:r>
      <w:proofErr w:type="gramStart"/>
      <w:r>
        <w:rPr>
          <w:rFonts w:ascii="黑体" w:eastAsia="黑体" w:hAnsi="黑体" w:cs="黑体" w:hint="eastAsia"/>
          <w:kern w:val="0"/>
          <w:sz w:val="24"/>
          <w:szCs w:val="24"/>
        </w:rPr>
        <w:t>务</w:t>
      </w:r>
      <w:proofErr w:type="gramEnd"/>
      <w:r>
        <w:rPr>
          <w:rFonts w:ascii="黑体" w:eastAsia="黑体" w:hAnsi="黑体" w:cs="黑体" w:hint="eastAsia"/>
          <w:kern w:val="0"/>
          <w:sz w:val="24"/>
          <w:szCs w:val="24"/>
        </w:rPr>
        <w:t>部门：</w:t>
      </w:r>
    </w:p>
    <w:p w14:paraId="5A5D9056" w14:textId="77777777" w:rsidR="006174B2" w:rsidRDefault="00000000">
      <w:pPr>
        <w:widowControl/>
        <w:shd w:val="clear" w:color="auto" w:fill="FDFDFE"/>
        <w:spacing w:line="360" w:lineRule="auto"/>
        <w:ind w:firstLineChars="200" w:firstLine="480"/>
        <w:jc w:val="left"/>
        <w:rPr>
          <w:rFonts w:ascii="宋体" w:eastAsia="宋体" w:hAnsi="宋体" w:cs="Segoe UI"/>
          <w:kern w:val="0"/>
          <w:sz w:val="24"/>
          <w:szCs w:val="24"/>
        </w:rPr>
      </w:pPr>
      <w:r>
        <w:rPr>
          <w:rFonts w:ascii="宋体" w:eastAsia="宋体" w:hAnsi="宋体" w:cs="Segoe UI" w:hint="eastAsia"/>
          <w:kern w:val="0"/>
          <w:sz w:val="24"/>
          <w:szCs w:val="24"/>
        </w:rPr>
        <w:lastRenderedPageBreak/>
        <w:t>团队成员具备深厚的法律专业知识与实践经验，能够灵活高效地应对各类法律挑战，为公司决策提供坚实的法律支持，同时展现出高度的主动性，有效识别和规避潜在法律风险，最大程度降低公司损失。</w:t>
      </w:r>
    </w:p>
    <w:p w14:paraId="52772150" w14:textId="77777777" w:rsidR="006174B2" w:rsidRDefault="00000000">
      <w:pPr>
        <w:widowControl/>
        <w:shd w:val="clear" w:color="auto" w:fill="FDFDFE"/>
        <w:spacing w:beforeLines="50" w:before="156" w:afterLines="50" w:after="156"/>
        <w:jc w:val="left"/>
        <w:outlineLvl w:val="2"/>
        <w:rPr>
          <w:rFonts w:ascii="黑体" w:eastAsia="黑体" w:hAnsi="黑体" w:cs="黑体"/>
          <w:kern w:val="0"/>
          <w:sz w:val="24"/>
          <w:szCs w:val="24"/>
        </w:rPr>
      </w:pPr>
      <w:r>
        <w:rPr>
          <w:rFonts w:ascii="黑体" w:eastAsia="黑体" w:hAnsi="黑体" w:cs="黑体" w:hint="eastAsia"/>
          <w:kern w:val="0"/>
          <w:sz w:val="24"/>
          <w:szCs w:val="24"/>
        </w:rPr>
        <w:t>5.市场部门：</w:t>
      </w:r>
    </w:p>
    <w:p w14:paraId="3F45CD62" w14:textId="77777777" w:rsidR="006174B2" w:rsidRDefault="00000000">
      <w:pPr>
        <w:widowControl/>
        <w:shd w:val="clear" w:color="auto" w:fill="FDFDFE"/>
        <w:spacing w:line="360" w:lineRule="auto"/>
        <w:ind w:firstLineChars="200" w:firstLine="480"/>
        <w:jc w:val="left"/>
        <w:rPr>
          <w:rFonts w:ascii="宋体" w:eastAsia="宋体" w:hAnsi="宋体" w:cs="Segoe UI"/>
          <w:kern w:val="0"/>
          <w:sz w:val="24"/>
          <w:szCs w:val="24"/>
        </w:rPr>
      </w:pPr>
      <w:r>
        <w:rPr>
          <w:rFonts w:ascii="宋体" w:eastAsia="宋体" w:hAnsi="宋体" w:cs="Segoe UI" w:hint="eastAsia"/>
          <w:kern w:val="0"/>
          <w:sz w:val="24"/>
          <w:szCs w:val="24"/>
        </w:rPr>
        <w:t>部门成员市场洞察力敏锐，创新意识突出，能够快速响应市场变化，精准把握消费者需求，策划出具有强大竞争力的营销方案。</w:t>
      </w:r>
    </w:p>
    <w:p w14:paraId="73E501D7" w14:textId="77777777" w:rsidR="006174B2" w:rsidRDefault="00000000">
      <w:pPr>
        <w:widowControl/>
        <w:shd w:val="clear" w:color="auto" w:fill="FDFDFE"/>
        <w:spacing w:beforeLines="50" w:before="156" w:afterLines="50" w:after="156"/>
        <w:jc w:val="left"/>
        <w:outlineLvl w:val="2"/>
        <w:rPr>
          <w:rFonts w:ascii="黑体" w:eastAsia="黑体" w:hAnsi="黑体" w:cs="黑体"/>
          <w:kern w:val="0"/>
          <w:sz w:val="24"/>
          <w:szCs w:val="24"/>
          <w:highlight w:val="cyan"/>
        </w:rPr>
      </w:pPr>
      <w:r>
        <w:rPr>
          <w:rFonts w:ascii="黑体" w:eastAsia="黑体" w:hAnsi="黑体" w:cs="黑体" w:hint="eastAsia"/>
          <w:kern w:val="0"/>
          <w:sz w:val="24"/>
          <w:szCs w:val="24"/>
        </w:rPr>
        <w:t>6.送电司机团队：</w:t>
      </w:r>
    </w:p>
    <w:p w14:paraId="33847BC2" w14:textId="77777777" w:rsidR="006174B2" w:rsidRDefault="00000000">
      <w:pPr>
        <w:widowControl/>
        <w:shd w:val="clear" w:color="auto" w:fill="FDFDFE"/>
        <w:spacing w:line="360" w:lineRule="auto"/>
        <w:ind w:firstLineChars="200" w:firstLine="480"/>
        <w:jc w:val="left"/>
        <w:rPr>
          <w:rFonts w:ascii="宋体" w:eastAsia="宋体" w:hAnsi="宋体" w:cs="Segoe UI"/>
          <w:kern w:val="0"/>
          <w:sz w:val="24"/>
          <w:szCs w:val="24"/>
        </w:rPr>
      </w:pPr>
      <w:r>
        <w:rPr>
          <w:rFonts w:ascii="宋体" w:eastAsia="宋体" w:hAnsi="宋体" w:cs="Segoe UI" w:hint="eastAsia"/>
          <w:kern w:val="0"/>
          <w:sz w:val="24"/>
          <w:szCs w:val="24"/>
        </w:rPr>
        <w:t>作为公司的重要组成部分，送电司机无需特定学历要求，但须具备出色的驾驶技术和对运输安全的深刻理解，确保运输效率、速度与准确性的高度统一。</w:t>
      </w:r>
    </w:p>
    <w:p w14:paraId="7C8C959E" w14:textId="77777777" w:rsidR="006174B2" w:rsidRDefault="00000000">
      <w:pPr>
        <w:widowControl/>
        <w:shd w:val="clear" w:color="auto" w:fill="FDFDFE"/>
        <w:jc w:val="center"/>
        <w:rPr>
          <w:rFonts w:ascii="宋体" w:eastAsia="宋体" w:hAnsi="宋体" w:cs="Segoe UI"/>
          <w:kern w:val="0"/>
          <w:sz w:val="24"/>
          <w:szCs w:val="24"/>
        </w:rPr>
      </w:pPr>
      <w:r>
        <w:rPr>
          <w:rFonts w:ascii="宋体" w:eastAsia="宋体" w:hAnsi="宋体" w:cs="Segoe UI" w:hint="eastAsia"/>
          <w:noProof/>
          <w:kern w:val="0"/>
          <w:sz w:val="24"/>
          <w:szCs w:val="24"/>
        </w:rPr>
        <w:drawing>
          <wp:inline distT="0" distB="0" distL="114300" distR="114300" wp14:anchorId="13E444DE" wp14:editId="3732B411">
            <wp:extent cx="5775325" cy="2520315"/>
            <wp:effectExtent l="0" t="0" r="3175" b="6985"/>
            <wp:docPr id="7" name="图片 7" descr="webwxgetmsgimg (2)"/>
            <wp:cNvGraphicFramePr/>
            <a:graphic xmlns:a="http://schemas.openxmlformats.org/drawingml/2006/main">
              <a:graphicData uri="http://schemas.openxmlformats.org/drawingml/2006/picture">
                <pic:pic xmlns:pic="http://schemas.openxmlformats.org/drawingml/2006/picture">
                  <pic:nvPicPr>
                    <pic:cNvPr id="7" name="图片 7" descr="webwxgetmsgimg (2)"/>
                    <pic:cNvPicPr/>
                  </pic:nvPicPr>
                  <pic:blipFill>
                    <a:blip r:embed="rId11"/>
                    <a:stretch>
                      <a:fillRect/>
                    </a:stretch>
                  </pic:blipFill>
                  <pic:spPr>
                    <a:xfrm>
                      <a:off x="0" y="0"/>
                      <a:ext cx="5775325" cy="2520315"/>
                    </a:xfrm>
                    <a:prstGeom prst="rect">
                      <a:avLst/>
                    </a:prstGeom>
                  </pic:spPr>
                </pic:pic>
              </a:graphicData>
            </a:graphic>
          </wp:inline>
        </w:drawing>
      </w:r>
    </w:p>
    <w:p w14:paraId="3854CDED" w14:textId="77777777" w:rsidR="006174B2" w:rsidRDefault="00000000">
      <w:pPr>
        <w:widowControl/>
        <w:shd w:val="clear" w:color="auto" w:fill="FDFDFE"/>
        <w:spacing w:line="360" w:lineRule="auto"/>
        <w:ind w:firstLineChars="200" w:firstLine="422"/>
        <w:jc w:val="center"/>
        <w:rPr>
          <w:rFonts w:ascii="Times New Roman" w:eastAsia="宋体" w:hAnsi="Times New Roman" w:cs="Segoe UI"/>
          <w:b/>
          <w:bCs/>
          <w:kern w:val="0"/>
        </w:rPr>
      </w:pPr>
      <w:r>
        <w:rPr>
          <w:rFonts w:ascii="Times New Roman" w:eastAsia="宋体" w:hAnsi="Times New Roman" w:cs="Segoe UI" w:hint="eastAsia"/>
          <w:b/>
          <w:bCs/>
          <w:kern w:val="0"/>
        </w:rPr>
        <w:t>图</w:t>
      </w:r>
      <w:r>
        <w:rPr>
          <w:rFonts w:ascii="Times New Roman" w:eastAsia="宋体" w:hAnsi="Times New Roman" w:cs="Segoe UI" w:hint="eastAsia"/>
          <w:b/>
          <w:bCs/>
          <w:kern w:val="0"/>
        </w:rPr>
        <w:t xml:space="preserve"> 3 </w:t>
      </w:r>
      <w:r>
        <w:rPr>
          <w:rFonts w:ascii="Times New Roman" w:eastAsia="宋体" w:hAnsi="Times New Roman" w:cs="Segoe UI" w:hint="eastAsia"/>
          <w:b/>
          <w:bCs/>
          <w:kern w:val="0"/>
        </w:rPr>
        <w:t>：公司人员构成</w:t>
      </w:r>
    </w:p>
    <w:p w14:paraId="286CDCEF" w14:textId="77777777" w:rsidR="006174B2" w:rsidRDefault="00000000">
      <w:pPr>
        <w:widowControl/>
        <w:shd w:val="clear" w:color="auto" w:fill="FDFDFE"/>
        <w:spacing w:beforeLines="50" w:before="156" w:afterLines="50" w:after="156"/>
        <w:jc w:val="left"/>
        <w:outlineLvl w:val="1"/>
        <w:rPr>
          <w:rFonts w:ascii="黑体" w:eastAsia="黑体" w:hAnsi="黑体" w:cs="黑体"/>
          <w:kern w:val="0"/>
          <w:sz w:val="28"/>
          <w:szCs w:val="28"/>
        </w:rPr>
      </w:pPr>
      <w:bookmarkStart w:id="28" w:name="_Toc10517"/>
      <w:r>
        <w:rPr>
          <w:rFonts w:ascii="黑体" w:eastAsia="黑体" w:hAnsi="黑体" w:cs="黑体" w:hint="eastAsia"/>
          <w:kern w:val="0"/>
          <w:sz w:val="28"/>
          <w:szCs w:val="28"/>
        </w:rPr>
        <w:t>5.2 团队管理</w:t>
      </w:r>
      <w:bookmarkEnd w:id="28"/>
    </w:p>
    <w:p w14:paraId="73647C83" w14:textId="77777777" w:rsidR="006174B2" w:rsidRDefault="00000000">
      <w:pPr>
        <w:widowControl/>
        <w:shd w:val="clear" w:color="auto" w:fill="FDFDFE"/>
        <w:spacing w:line="360" w:lineRule="auto"/>
        <w:ind w:firstLineChars="200" w:firstLine="480"/>
        <w:jc w:val="left"/>
        <w:rPr>
          <w:rFonts w:ascii="宋体" w:eastAsia="宋体" w:hAnsi="宋体" w:cs="Segoe UI"/>
          <w:kern w:val="0"/>
          <w:sz w:val="24"/>
          <w:szCs w:val="24"/>
        </w:rPr>
      </w:pPr>
      <w:r>
        <w:rPr>
          <w:rFonts w:ascii="宋体" w:eastAsia="宋体" w:hAnsi="宋体" w:cs="Segoe UI" w:hint="eastAsia"/>
          <w:kern w:val="0"/>
          <w:sz w:val="24"/>
          <w:szCs w:val="24"/>
        </w:rPr>
        <w:t>我们将实行扁平化的管理方式，鼓励团队成员积极参与决策和创新。同时，建立完善的激励机制和培训体系，提升团队凝聚力和执行力。通过定期的团队建设和沟通活动，增强团队成员之间的信任和合作，具体如下：</w:t>
      </w:r>
    </w:p>
    <w:p w14:paraId="71099690" w14:textId="77777777" w:rsidR="006174B2" w:rsidRDefault="00000000">
      <w:pPr>
        <w:widowControl/>
        <w:shd w:val="clear" w:color="auto" w:fill="FDFDFE"/>
        <w:spacing w:beforeLines="50" w:before="156" w:afterLines="50" w:after="156"/>
        <w:jc w:val="left"/>
        <w:outlineLvl w:val="2"/>
        <w:rPr>
          <w:rFonts w:ascii="黑体" w:eastAsia="黑体" w:hAnsi="黑体" w:cs="黑体"/>
          <w:kern w:val="0"/>
          <w:sz w:val="24"/>
          <w:szCs w:val="24"/>
        </w:rPr>
      </w:pPr>
      <w:r>
        <w:rPr>
          <w:rFonts w:ascii="黑体" w:eastAsia="黑体" w:hAnsi="黑体" w:cs="黑体" w:hint="eastAsia"/>
          <w:kern w:val="0"/>
          <w:sz w:val="24"/>
          <w:szCs w:val="24"/>
        </w:rPr>
        <w:t>1.专业技能与经验积淀：</w:t>
      </w:r>
    </w:p>
    <w:p w14:paraId="17E1FE96" w14:textId="77777777" w:rsidR="006174B2" w:rsidRDefault="00000000">
      <w:pPr>
        <w:widowControl/>
        <w:shd w:val="clear" w:color="auto" w:fill="FDFDFE"/>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公司凭借独特的算法优势，紧密结合实际问题，不断借鉴先进经验，提升算法精度、应用范围和效率，积累了丰富的算法开发与公司运营经验。</w:t>
      </w:r>
    </w:p>
    <w:p w14:paraId="53F0861A" w14:textId="77777777" w:rsidR="006174B2" w:rsidRDefault="00000000">
      <w:pPr>
        <w:widowControl/>
        <w:shd w:val="clear" w:color="auto" w:fill="FDFDFE"/>
        <w:spacing w:beforeLines="50" w:before="156" w:afterLines="50" w:after="156"/>
        <w:jc w:val="left"/>
        <w:outlineLvl w:val="2"/>
        <w:rPr>
          <w:rFonts w:ascii="黑体" w:eastAsia="黑体" w:hAnsi="黑体" w:cs="黑体"/>
          <w:kern w:val="0"/>
          <w:sz w:val="24"/>
          <w:szCs w:val="24"/>
        </w:rPr>
      </w:pPr>
      <w:r>
        <w:rPr>
          <w:rFonts w:ascii="黑体" w:eastAsia="黑体" w:hAnsi="黑体" w:cs="黑体" w:hint="eastAsia"/>
          <w:kern w:val="0"/>
          <w:sz w:val="24"/>
          <w:szCs w:val="24"/>
        </w:rPr>
        <w:t>2.决策机制的科学性：</w:t>
      </w:r>
    </w:p>
    <w:p w14:paraId="4D556378" w14:textId="77777777" w:rsidR="006174B2" w:rsidRDefault="00000000">
      <w:pPr>
        <w:widowControl/>
        <w:shd w:val="clear" w:color="auto" w:fill="FDFDFE"/>
        <w:spacing w:line="360" w:lineRule="auto"/>
        <w:ind w:firstLineChars="200" w:firstLine="480"/>
        <w:jc w:val="left"/>
        <w:rPr>
          <w:rFonts w:ascii="宋体" w:eastAsia="宋体" w:hAnsi="宋体" w:cs="Segoe UI"/>
          <w:kern w:val="0"/>
          <w:sz w:val="24"/>
          <w:szCs w:val="24"/>
        </w:rPr>
      </w:pPr>
      <w:r>
        <w:rPr>
          <w:rFonts w:ascii="宋体" w:eastAsia="宋体" w:hAnsi="宋体" w:cs="Segoe UI" w:hint="eastAsia"/>
          <w:kern w:val="0"/>
          <w:sz w:val="24"/>
          <w:szCs w:val="24"/>
        </w:rPr>
        <w:lastRenderedPageBreak/>
        <w:t>公司采用先进的决策支持系统，包括数据分析、市场调研等手段，辅助决策制定与实施。决策过程遵循集体讨论、民主决策的原则，紧密围绕国家发展大局与人民需求，服务民生，确保决策的科学性与合理性。</w:t>
      </w:r>
    </w:p>
    <w:p w14:paraId="5FD5CC22" w14:textId="77777777" w:rsidR="006174B2" w:rsidRDefault="00000000">
      <w:pPr>
        <w:widowControl/>
        <w:shd w:val="clear" w:color="auto" w:fill="FDFDFE"/>
        <w:spacing w:beforeLines="50" w:before="156" w:afterLines="50" w:after="156"/>
        <w:jc w:val="left"/>
        <w:outlineLvl w:val="2"/>
        <w:rPr>
          <w:rFonts w:ascii="黑体" w:eastAsia="黑体" w:hAnsi="黑体" w:cs="黑体"/>
          <w:kern w:val="0"/>
          <w:sz w:val="24"/>
          <w:szCs w:val="24"/>
        </w:rPr>
      </w:pPr>
      <w:r>
        <w:rPr>
          <w:rFonts w:ascii="黑体" w:eastAsia="黑体" w:hAnsi="黑体" w:cs="黑体" w:hint="eastAsia"/>
          <w:kern w:val="0"/>
          <w:sz w:val="24"/>
          <w:szCs w:val="24"/>
        </w:rPr>
        <w:t>3.企业文化的独特魅力：</w:t>
      </w:r>
    </w:p>
    <w:p w14:paraId="28051084" w14:textId="77777777" w:rsidR="006174B2" w:rsidRDefault="00000000">
      <w:pPr>
        <w:widowControl/>
        <w:shd w:val="clear" w:color="auto" w:fill="FDFDFE"/>
        <w:spacing w:line="360" w:lineRule="auto"/>
        <w:ind w:firstLineChars="200" w:firstLine="480"/>
        <w:jc w:val="left"/>
        <w:rPr>
          <w:rFonts w:ascii="宋体" w:eastAsia="宋体" w:hAnsi="宋体" w:cs="Segoe UI"/>
          <w:kern w:val="0"/>
          <w:sz w:val="24"/>
          <w:szCs w:val="24"/>
        </w:rPr>
      </w:pPr>
      <w:r>
        <w:rPr>
          <w:rFonts w:ascii="宋体" w:eastAsia="宋体" w:hAnsi="宋体" w:cs="Segoe UI" w:hint="eastAsia"/>
          <w:kern w:val="0"/>
          <w:sz w:val="24"/>
          <w:szCs w:val="24"/>
        </w:rPr>
        <w:t>企业文化以技术突破与运营革新为核心，积极追求新发展，致力于解决社会生活中的实际问题，使科技成果更好地造福人民，展现出独特的企业魅力。</w:t>
      </w:r>
    </w:p>
    <w:p w14:paraId="65575B76" w14:textId="77777777" w:rsidR="006174B2" w:rsidRDefault="00000000">
      <w:pPr>
        <w:widowControl/>
        <w:shd w:val="clear" w:color="auto" w:fill="FDFDFE"/>
        <w:spacing w:beforeLines="50" w:before="156" w:afterLines="50" w:after="156"/>
        <w:jc w:val="left"/>
        <w:outlineLvl w:val="2"/>
        <w:rPr>
          <w:rFonts w:ascii="黑体" w:eastAsia="黑体" w:hAnsi="黑体" w:cs="黑体"/>
          <w:kern w:val="0"/>
          <w:sz w:val="24"/>
          <w:szCs w:val="24"/>
        </w:rPr>
      </w:pPr>
      <w:r>
        <w:rPr>
          <w:rFonts w:ascii="黑体" w:eastAsia="黑体" w:hAnsi="黑体" w:cs="黑体" w:hint="eastAsia"/>
          <w:kern w:val="0"/>
          <w:sz w:val="24"/>
          <w:szCs w:val="24"/>
        </w:rPr>
        <w:t>4.团队成长与发展潜力展望：</w:t>
      </w:r>
    </w:p>
    <w:p w14:paraId="635CB0F5" w14:textId="77777777" w:rsidR="006174B2" w:rsidRDefault="00000000">
      <w:pPr>
        <w:widowControl/>
        <w:shd w:val="clear" w:color="auto" w:fill="FDFDFE"/>
        <w:spacing w:line="360" w:lineRule="auto"/>
        <w:ind w:firstLineChars="200" w:firstLine="480"/>
        <w:jc w:val="left"/>
        <w:rPr>
          <w:rFonts w:ascii="宋体" w:eastAsia="宋体" w:hAnsi="宋体" w:cs="Segoe UI"/>
          <w:kern w:val="0"/>
          <w:sz w:val="24"/>
          <w:szCs w:val="24"/>
        </w:rPr>
      </w:pPr>
      <w:r>
        <w:rPr>
          <w:rFonts w:ascii="宋体" w:eastAsia="宋体" w:hAnsi="宋体" w:cs="Segoe UI" w:hint="eastAsia"/>
          <w:kern w:val="0"/>
          <w:sz w:val="24"/>
          <w:szCs w:val="24"/>
        </w:rPr>
        <w:t>公司注重人才培养，不断完善团队成长计划，包括人才引进、培训与发展战略，确保团队能力随公司发展壮大而不断提升，展现出强大的发展潜力。</w:t>
      </w:r>
    </w:p>
    <w:p w14:paraId="75FD80D7" w14:textId="77777777" w:rsidR="006174B2" w:rsidRDefault="006174B2">
      <w:pPr>
        <w:widowControl/>
        <w:shd w:val="clear" w:color="auto" w:fill="FDFDFE"/>
        <w:spacing w:beforeLines="50" w:before="156" w:afterLines="50" w:after="156"/>
        <w:ind w:firstLine="656"/>
        <w:jc w:val="center"/>
        <w:outlineLvl w:val="0"/>
        <w:rPr>
          <w:rFonts w:ascii="黑体" w:eastAsia="黑体" w:hAnsi="黑体" w:cs="黑体"/>
          <w:kern w:val="0"/>
          <w:sz w:val="32"/>
          <w:szCs w:val="32"/>
        </w:rPr>
      </w:pPr>
      <w:bookmarkStart w:id="29" w:name="_Toc18667"/>
    </w:p>
    <w:p w14:paraId="1944B025" w14:textId="77777777" w:rsidR="006174B2" w:rsidRDefault="00000000">
      <w:pPr>
        <w:widowControl/>
        <w:shd w:val="clear" w:color="auto" w:fill="FDFDFE"/>
        <w:spacing w:beforeLines="50" w:before="156" w:afterLines="50" w:after="156"/>
        <w:ind w:firstLine="656"/>
        <w:jc w:val="center"/>
        <w:outlineLvl w:val="0"/>
        <w:rPr>
          <w:rFonts w:ascii="黑体" w:eastAsia="黑体" w:hAnsi="黑体" w:cs="黑体"/>
          <w:kern w:val="0"/>
          <w:sz w:val="32"/>
          <w:szCs w:val="32"/>
        </w:rPr>
      </w:pPr>
      <w:r>
        <w:rPr>
          <w:rFonts w:ascii="黑体" w:eastAsia="黑体" w:hAnsi="黑体" w:cs="黑体" w:hint="eastAsia"/>
          <w:kern w:val="0"/>
          <w:sz w:val="32"/>
          <w:szCs w:val="32"/>
        </w:rPr>
        <w:t>六、财务预测与投资回报</w:t>
      </w:r>
      <w:bookmarkEnd w:id="29"/>
    </w:p>
    <w:p w14:paraId="7B262E9D" w14:textId="77777777" w:rsidR="006174B2" w:rsidRDefault="00000000">
      <w:pPr>
        <w:widowControl/>
        <w:shd w:val="clear" w:color="auto" w:fill="FDFDFE"/>
        <w:spacing w:beforeLines="50" w:before="156" w:afterLines="50" w:after="156"/>
        <w:jc w:val="left"/>
        <w:outlineLvl w:val="1"/>
        <w:rPr>
          <w:rFonts w:ascii="黑体" w:eastAsia="黑体" w:hAnsi="黑体" w:cs="黑体"/>
          <w:kern w:val="0"/>
          <w:sz w:val="28"/>
          <w:szCs w:val="28"/>
        </w:rPr>
      </w:pPr>
      <w:bookmarkStart w:id="30" w:name="_Toc707"/>
      <w:r>
        <w:rPr>
          <w:rFonts w:ascii="黑体" w:eastAsia="黑体" w:hAnsi="黑体" w:cs="黑体" w:hint="eastAsia"/>
          <w:kern w:val="0"/>
          <w:sz w:val="28"/>
          <w:szCs w:val="28"/>
        </w:rPr>
        <w:t>6.1 财务预测</w:t>
      </w:r>
      <w:bookmarkEnd w:id="30"/>
    </w:p>
    <w:p w14:paraId="02D73F90" w14:textId="77777777" w:rsidR="006174B2" w:rsidRDefault="00000000">
      <w:pPr>
        <w:widowControl/>
        <w:shd w:val="clear" w:color="auto" w:fill="FDFDFE"/>
        <w:spacing w:line="360" w:lineRule="auto"/>
        <w:ind w:firstLineChars="200" w:firstLine="480"/>
        <w:jc w:val="left"/>
        <w:rPr>
          <w:rFonts w:ascii="Times New Roman" w:eastAsia="宋体" w:hAnsi="Times New Roman" w:cs="Segoe UI"/>
          <w:kern w:val="0"/>
          <w:sz w:val="24"/>
          <w:szCs w:val="24"/>
        </w:rPr>
      </w:pPr>
      <w:r>
        <w:rPr>
          <w:rFonts w:ascii="Times New Roman" w:eastAsia="宋体" w:hAnsi="Times New Roman" w:cs="Segoe UI" w:hint="eastAsia"/>
          <w:kern w:val="0"/>
          <w:sz w:val="24"/>
          <w:szCs w:val="24"/>
        </w:rPr>
        <w:t>根据我们的商业模式和运营计划，我们进行了详细的财务预测。</w:t>
      </w:r>
    </w:p>
    <w:p w14:paraId="16AE3AFA" w14:textId="77777777" w:rsidR="006174B2" w:rsidRDefault="00000000">
      <w:pPr>
        <w:widowControl/>
        <w:shd w:val="clear" w:color="auto" w:fill="FDFDFE"/>
        <w:spacing w:line="360" w:lineRule="auto"/>
        <w:ind w:firstLineChars="200" w:firstLine="496"/>
        <w:jc w:val="left"/>
        <w:rPr>
          <w:rFonts w:ascii="Times New Roman" w:eastAsia="宋体" w:hAnsi="Times New Roman"/>
          <w:spacing w:val="4"/>
          <w:kern w:val="0"/>
          <w:sz w:val="24"/>
          <w:szCs w:val="24"/>
          <w:shd w:val="clear" w:color="auto" w:fill="FFFFFF"/>
        </w:rPr>
      </w:pPr>
      <w:r>
        <w:rPr>
          <w:rFonts w:ascii="Times New Roman" w:eastAsia="宋体" w:hAnsi="Times New Roman"/>
          <w:spacing w:val="4"/>
          <w:kern w:val="0"/>
          <w:sz w:val="24"/>
          <w:szCs w:val="24"/>
          <w:shd w:val="clear" w:color="auto" w:fill="FFFFFF"/>
        </w:rPr>
        <w:t>首先，成本预算方面，我们将其细分为以下几个主要部分：研发成本、生产成本、运营成本和法律与合</w:t>
      </w:r>
      <w:proofErr w:type="gramStart"/>
      <w:r>
        <w:rPr>
          <w:rFonts w:ascii="Times New Roman" w:eastAsia="宋体" w:hAnsi="Times New Roman"/>
          <w:spacing w:val="4"/>
          <w:kern w:val="0"/>
          <w:sz w:val="24"/>
          <w:szCs w:val="24"/>
          <w:shd w:val="clear" w:color="auto" w:fill="FFFFFF"/>
        </w:rPr>
        <w:t>规</w:t>
      </w:r>
      <w:proofErr w:type="gramEnd"/>
      <w:r>
        <w:rPr>
          <w:rFonts w:ascii="Times New Roman" w:eastAsia="宋体" w:hAnsi="Times New Roman"/>
          <w:spacing w:val="4"/>
          <w:kern w:val="0"/>
          <w:sz w:val="24"/>
          <w:szCs w:val="24"/>
          <w:shd w:val="clear" w:color="auto" w:fill="FFFFFF"/>
        </w:rPr>
        <w:t>成本。研发成本涵盖了研发人员薪酬、设备购置及测试费用等，预计初期投入将达到</w:t>
      </w:r>
      <w:r>
        <w:rPr>
          <w:rFonts w:ascii="Times New Roman" w:eastAsia="宋体" w:hAnsi="Times New Roman"/>
          <w:spacing w:val="4"/>
          <w:kern w:val="0"/>
          <w:sz w:val="24"/>
          <w:szCs w:val="24"/>
          <w:shd w:val="clear" w:color="auto" w:fill="FFFFFF"/>
        </w:rPr>
        <w:t>200</w:t>
      </w:r>
      <w:r>
        <w:rPr>
          <w:rFonts w:ascii="Times New Roman" w:eastAsia="宋体" w:hAnsi="Times New Roman"/>
          <w:spacing w:val="4"/>
          <w:kern w:val="0"/>
          <w:sz w:val="24"/>
          <w:szCs w:val="24"/>
          <w:shd w:val="clear" w:color="auto" w:fill="FFFFFF"/>
        </w:rPr>
        <w:t>万元。生产成本则涉及原材料采购、人工成本以及制造费用等，预计每台移动充电机器人的生产成本为</w:t>
      </w:r>
      <w:r>
        <w:rPr>
          <w:rFonts w:ascii="Times New Roman" w:eastAsia="宋体" w:hAnsi="Times New Roman"/>
          <w:spacing w:val="4"/>
          <w:kern w:val="0"/>
          <w:sz w:val="24"/>
          <w:szCs w:val="24"/>
          <w:shd w:val="clear" w:color="auto" w:fill="FFFFFF"/>
        </w:rPr>
        <w:t>1</w:t>
      </w:r>
      <w:r>
        <w:rPr>
          <w:rFonts w:ascii="Times New Roman" w:eastAsia="宋体" w:hAnsi="Times New Roman"/>
          <w:spacing w:val="4"/>
          <w:kern w:val="0"/>
          <w:sz w:val="24"/>
          <w:szCs w:val="24"/>
          <w:shd w:val="clear" w:color="auto" w:fill="FFFFFF"/>
        </w:rPr>
        <w:t>万元。运营成本则包括日常管理费用、市场营销支出、设备维护以及物流配送等费用，预计年运营成本为</w:t>
      </w:r>
      <w:r>
        <w:rPr>
          <w:rFonts w:ascii="Times New Roman" w:eastAsia="宋体" w:hAnsi="Times New Roman"/>
          <w:spacing w:val="4"/>
          <w:kern w:val="0"/>
          <w:sz w:val="24"/>
          <w:szCs w:val="24"/>
          <w:shd w:val="clear" w:color="auto" w:fill="FFFFFF"/>
        </w:rPr>
        <w:t>50</w:t>
      </w:r>
      <w:r>
        <w:rPr>
          <w:rFonts w:ascii="Times New Roman" w:eastAsia="宋体" w:hAnsi="Times New Roman"/>
          <w:spacing w:val="4"/>
          <w:kern w:val="0"/>
          <w:sz w:val="24"/>
          <w:szCs w:val="24"/>
          <w:shd w:val="clear" w:color="auto" w:fill="FFFFFF"/>
        </w:rPr>
        <w:t>万元。此外，法律与合</w:t>
      </w:r>
      <w:proofErr w:type="gramStart"/>
      <w:r>
        <w:rPr>
          <w:rFonts w:ascii="Times New Roman" w:eastAsia="宋体" w:hAnsi="Times New Roman"/>
          <w:spacing w:val="4"/>
          <w:kern w:val="0"/>
          <w:sz w:val="24"/>
          <w:szCs w:val="24"/>
          <w:shd w:val="clear" w:color="auto" w:fill="FFFFFF"/>
        </w:rPr>
        <w:t>规</w:t>
      </w:r>
      <w:proofErr w:type="gramEnd"/>
      <w:r>
        <w:rPr>
          <w:rFonts w:ascii="Times New Roman" w:eastAsia="宋体" w:hAnsi="Times New Roman"/>
          <w:spacing w:val="4"/>
          <w:kern w:val="0"/>
          <w:sz w:val="24"/>
          <w:szCs w:val="24"/>
          <w:shd w:val="clear" w:color="auto" w:fill="FFFFFF"/>
        </w:rPr>
        <w:t>成本亦不可忽视，包括专利申请费用、合</w:t>
      </w:r>
      <w:proofErr w:type="gramStart"/>
      <w:r>
        <w:rPr>
          <w:rFonts w:ascii="Times New Roman" w:eastAsia="宋体" w:hAnsi="Times New Roman"/>
          <w:spacing w:val="4"/>
          <w:kern w:val="0"/>
          <w:sz w:val="24"/>
          <w:szCs w:val="24"/>
          <w:shd w:val="clear" w:color="auto" w:fill="FFFFFF"/>
        </w:rPr>
        <w:t>规</w:t>
      </w:r>
      <w:proofErr w:type="gramEnd"/>
      <w:r>
        <w:rPr>
          <w:rFonts w:ascii="Times New Roman" w:eastAsia="宋体" w:hAnsi="Times New Roman"/>
          <w:spacing w:val="4"/>
          <w:kern w:val="0"/>
          <w:sz w:val="24"/>
          <w:szCs w:val="24"/>
          <w:shd w:val="clear" w:color="auto" w:fill="FFFFFF"/>
        </w:rPr>
        <w:t>审查以及保险等支出，预计年成本为</w:t>
      </w:r>
      <w:r>
        <w:rPr>
          <w:rFonts w:ascii="Times New Roman" w:eastAsia="宋体" w:hAnsi="Times New Roman"/>
          <w:spacing w:val="4"/>
          <w:kern w:val="0"/>
          <w:sz w:val="24"/>
          <w:szCs w:val="24"/>
          <w:shd w:val="clear" w:color="auto" w:fill="FFFFFF"/>
        </w:rPr>
        <w:t>50</w:t>
      </w:r>
      <w:r>
        <w:rPr>
          <w:rFonts w:ascii="Times New Roman" w:eastAsia="宋体" w:hAnsi="Times New Roman"/>
          <w:spacing w:val="4"/>
          <w:kern w:val="0"/>
          <w:sz w:val="24"/>
          <w:szCs w:val="24"/>
          <w:shd w:val="clear" w:color="auto" w:fill="FFFFFF"/>
        </w:rPr>
        <w:t>万元。</w:t>
      </w:r>
      <w:r>
        <w:rPr>
          <w:rFonts w:ascii="Times New Roman" w:eastAsia="宋体" w:hAnsi="Times New Roman"/>
          <w:spacing w:val="4"/>
          <w:kern w:val="0"/>
          <w:sz w:val="24"/>
          <w:szCs w:val="24"/>
          <w:shd w:val="clear" w:color="auto" w:fill="FFFFFF"/>
        </w:rPr>
        <w:t xml:space="preserve"> </w:t>
      </w:r>
      <w:r>
        <w:rPr>
          <w:rFonts w:ascii="Times New Roman" w:eastAsia="宋体" w:hAnsi="Times New Roman"/>
          <w:spacing w:val="4"/>
          <w:kern w:val="0"/>
          <w:sz w:val="24"/>
          <w:szCs w:val="24"/>
          <w:shd w:val="clear" w:color="auto" w:fill="FFFFFF"/>
        </w:rPr>
        <w:t>在盈利预算方面，我们将其细分为销售收入和服务收入两部分。根据市场调研及定价策略，预计每台移动充电机器人的售价为</w:t>
      </w:r>
      <w:r>
        <w:rPr>
          <w:rFonts w:ascii="Times New Roman" w:eastAsia="宋体" w:hAnsi="Times New Roman"/>
          <w:spacing w:val="4"/>
          <w:kern w:val="0"/>
          <w:sz w:val="24"/>
          <w:szCs w:val="24"/>
          <w:shd w:val="clear" w:color="auto" w:fill="FFFFFF"/>
        </w:rPr>
        <w:t>2</w:t>
      </w:r>
      <w:r>
        <w:rPr>
          <w:rFonts w:ascii="Times New Roman" w:eastAsia="宋体" w:hAnsi="Times New Roman"/>
          <w:spacing w:val="4"/>
          <w:kern w:val="0"/>
          <w:sz w:val="24"/>
          <w:szCs w:val="24"/>
          <w:shd w:val="clear" w:color="auto" w:fill="FFFFFF"/>
        </w:rPr>
        <w:t>万元。考虑到市场需求及产能规划，年销售量设定为</w:t>
      </w:r>
      <w:r>
        <w:rPr>
          <w:rFonts w:ascii="Times New Roman" w:eastAsia="宋体" w:hAnsi="Times New Roman"/>
          <w:spacing w:val="4"/>
          <w:kern w:val="0"/>
          <w:sz w:val="24"/>
          <w:szCs w:val="24"/>
          <w:shd w:val="clear" w:color="auto" w:fill="FFFFFF"/>
        </w:rPr>
        <w:t>100</w:t>
      </w:r>
      <w:r>
        <w:rPr>
          <w:rFonts w:ascii="Times New Roman" w:eastAsia="宋体" w:hAnsi="Times New Roman"/>
          <w:spacing w:val="4"/>
          <w:kern w:val="0"/>
          <w:sz w:val="24"/>
          <w:szCs w:val="24"/>
          <w:shd w:val="clear" w:color="auto" w:fill="FFFFFF"/>
        </w:rPr>
        <w:t>台。此外，通过提供充电服务和应急电力支持，预计年服务收入将达到</w:t>
      </w:r>
      <w:r>
        <w:rPr>
          <w:rFonts w:ascii="Times New Roman" w:eastAsia="宋体" w:hAnsi="Times New Roman"/>
          <w:spacing w:val="4"/>
          <w:kern w:val="0"/>
          <w:sz w:val="24"/>
          <w:szCs w:val="24"/>
          <w:shd w:val="clear" w:color="auto" w:fill="FFFFFF"/>
        </w:rPr>
        <w:t>500</w:t>
      </w:r>
      <w:r>
        <w:rPr>
          <w:rFonts w:ascii="Times New Roman" w:eastAsia="宋体" w:hAnsi="Times New Roman"/>
          <w:spacing w:val="4"/>
          <w:kern w:val="0"/>
          <w:sz w:val="24"/>
          <w:szCs w:val="24"/>
          <w:shd w:val="clear" w:color="auto" w:fill="FFFFFF"/>
        </w:rPr>
        <w:t>万元。</w:t>
      </w:r>
      <w:r>
        <w:rPr>
          <w:rFonts w:ascii="Times New Roman" w:eastAsia="宋体" w:hAnsi="Times New Roman"/>
          <w:spacing w:val="4"/>
          <w:kern w:val="0"/>
          <w:sz w:val="24"/>
          <w:szCs w:val="24"/>
          <w:shd w:val="clear" w:color="auto" w:fill="FFFFFF"/>
        </w:rPr>
        <w:t xml:space="preserve"> </w:t>
      </w:r>
    </w:p>
    <w:p w14:paraId="35193D20" w14:textId="77777777" w:rsidR="006174B2" w:rsidRDefault="00000000">
      <w:pPr>
        <w:widowControl/>
        <w:shd w:val="clear" w:color="auto" w:fill="FDFDFE"/>
        <w:spacing w:line="360" w:lineRule="auto"/>
        <w:ind w:firstLineChars="200" w:firstLine="496"/>
        <w:jc w:val="left"/>
        <w:rPr>
          <w:rFonts w:ascii="Times New Roman" w:eastAsia="宋体" w:hAnsi="Times New Roman"/>
          <w:spacing w:val="4"/>
          <w:kern w:val="0"/>
          <w:sz w:val="24"/>
          <w:szCs w:val="24"/>
          <w:shd w:val="clear" w:color="auto" w:fill="FFFFFF"/>
        </w:rPr>
      </w:pPr>
      <w:r>
        <w:rPr>
          <w:rFonts w:ascii="Times New Roman" w:eastAsia="宋体" w:hAnsi="Times New Roman"/>
          <w:spacing w:val="4"/>
          <w:kern w:val="0"/>
          <w:sz w:val="24"/>
          <w:szCs w:val="24"/>
          <w:shd w:val="clear" w:color="auto" w:fill="FFFFFF"/>
        </w:rPr>
        <w:t>基于上述成本预算与盈利预算，我们进行利润预测。</w:t>
      </w:r>
      <w:r>
        <w:rPr>
          <w:rFonts w:ascii="Times New Roman" w:eastAsia="宋体" w:hAnsi="Times New Roman" w:hint="eastAsia"/>
          <w:spacing w:val="4"/>
          <w:kern w:val="0"/>
          <w:sz w:val="24"/>
          <w:szCs w:val="24"/>
          <w:shd w:val="clear" w:color="auto" w:fill="FFFFFF"/>
        </w:rPr>
        <w:t>首先完成移动充电机器人的折旧计算，也即每年维护或维修的费用计算。考虑到机器人的性能主要是在使用寿命后期集中出现问题，采用对数浮动模型预测第</w:t>
      </w:r>
      <m:oMath>
        <m:r>
          <w:rPr>
            <w:rFonts w:ascii="Cambria Math" w:eastAsia="宋体" w:hAnsi="Cambria Math" w:hint="eastAsia"/>
            <w:spacing w:val="4"/>
            <w:kern w:val="0"/>
            <w:sz w:val="24"/>
            <w:szCs w:val="24"/>
            <w:shd w:val="clear" w:color="auto" w:fill="FFFFFF"/>
          </w:rPr>
          <m:t>N</m:t>
        </m:r>
      </m:oMath>
      <w:r>
        <w:rPr>
          <w:rFonts w:ascii="Times New Roman" w:eastAsia="宋体" w:hAnsi="Times New Roman" w:hint="eastAsia"/>
          <w:spacing w:val="4"/>
          <w:kern w:val="0"/>
          <w:sz w:val="24"/>
          <w:szCs w:val="24"/>
          <w:shd w:val="clear" w:color="auto" w:fill="FFFFFF"/>
        </w:rPr>
        <w:t>年单台机器维护成本，期望寿</w:t>
      </w:r>
      <w:r>
        <w:rPr>
          <w:rFonts w:ascii="Times New Roman" w:eastAsia="宋体" w:hAnsi="Times New Roman" w:hint="eastAsia"/>
          <w:spacing w:val="4"/>
          <w:kern w:val="0"/>
          <w:sz w:val="24"/>
          <w:szCs w:val="24"/>
          <w:shd w:val="clear" w:color="auto" w:fill="FFFFFF"/>
        </w:rPr>
        <w:lastRenderedPageBreak/>
        <w:t>命为</w:t>
      </w:r>
      <m:oMath>
        <m:sSub>
          <m:sSubPr>
            <m:ctrlPr>
              <w:rPr>
                <w:rFonts w:ascii="Cambria Math" w:eastAsia="宋体" w:hAnsi="Cambria Math"/>
                <w:i/>
                <w:spacing w:val="4"/>
                <w:kern w:val="0"/>
                <w:sz w:val="24"/>
                <w:szCs w:val="24"/>
                <w:shd w:val="clear" w:color="auto" w:fill="FFFFFF"/>
              </w:rPr>
            </m:ctrlPr>
          </m:sSubPr>
          <m:e>
            <m:r>
              <w:rPr>
                <w:rFonts w:ascii="Cambria Math" w:eastAsia="宋体" w:hAnsi="Cambria Math" w:hint="eastAsia"/>
                <w:spacing w:val="4"/>
                <w:kern w:val="0"/>
                <w:sz w:val="24"/>
                <w:szCs w:val="24"/>
                <w:shd w:val="clear" w:color="auto" w:fill="FFFFFF"/>
              </w:rPr>
              <m:t>N</m:t>
            </m:r>
          </m:e>
          <m:sub>
            <m:r>
              <w:rPr>
                <w:rFonts w:ascii="Cambria Math" w:eastAsia="宋体" w:hAnsi="Cambria Math"/>
                <w:spacing w:val="4"/>
                <w:kern w:val="0"/>
                <w:sz w:val="24"/>
                <w:szCs w:val="24"/>
                <w:shd w:val="clear" w:color="auto" w:fill="FFFFFF"/>
              </w:rPr>
              <m:t>0</m:t>
            </m:r>
          </m:sub>
        </m:sSub>
      </m:oMath>
      <w:r>
        <w:rPr>
          <w:rFonts w:ascii="Times New Roman" w:eastAsia="宋体" w:hAnsi="Times New Roman" w:hint="eastAsia"/>
          <w:spacing w:val="4"/>
          <w:kern w:val="0"/>
          <w:sz w:val="24"/>
          <w:szCs w:val="24"/>
          <w:shd w:val="clear" w:color="auto" w:fill="FFFFFF"/>
        </w:rPr>
        <w:t>=8</w:t>
      </w:r>
      <w:r>
        <w:rPr>
          <w:rFonts w:ascii="Times New Roman" w:eastAsia="宋体" w:hAnsi="Times New Roman" w:hint="eastAsia"/>
          <w:spacing w:val="4"/>
          <w:kern w:val="0"/>
          <w:sz w:val="24"/>
          <w:szCs w:val="24"/>
          <w:shd w:val="clear" w:color="auto" w:fill="FFFFFF"/>
        </w:rPr>
        <w:t>年，引入预测系数</w:t>
      </w:r>
      <m:oMath>
        <m:r>
          <w:rPr>
            <w:rFonts w:ascii="Cambria Math" w:eastAsia="宋体" w:hAnsi="Cambria Math"/>
            <w:spacing w:val="4"/>
            <w:kern w:val="0"/>
            <w:sz w:val="24"/>
            <w:szCs w:val="24"/>
            <w:shd w:val="clear" w:color="auto" w:fill="FFFFFF"/>
          </w:rPr>
          <m:t>θ</m:t>
        </m:r>
      </m:oMath>
      <w:r>
        <w:rPr>
          <w:rFonts w:ascii="Times New Roman" w:eastAsia="宋体" w:hAnsi="Times New Roman" w:hint="eastAsia"/>
          <w:spacing w:val="4"/>
          <w:kern w:val="0"/>
          <w:sz w:val="24"/>
          <w:szCs w:val="24"/>
          <w:shd w:val="clear" w:color="auto" w:fill="FFFFFF"/>
        </w:rPr>
        <w:t>为</w:t>
      </w:r>
      <w:r>
        <w:rPr>
          <w:rFonts w:ascii="Times New Roman" w:eastAsia="宋体" w:hAnsi="Times New Roman" w:hint="eastAsia"/>
          <w:spacing w:val="4"/>
          <w:kern w:val="0"/>
          <w:sz w:val="24"/>
          <w:szCs w:val="24"/>
          <w:shd w:val="clear" w:color="auto" w:fill="FFFFFF"/>
        </w:rPr>
        <w:t>0.2</w:t>
      </w:r>
      <w:r>
        <w:rPr>
          <w:rFonts w:ascii="Times New Roman" w:eastAsia="宋体" w:hAnsi="Times New Roman" w:hint="eastAsia"/>
          <w:spacing w:val="4"/>
          <w:kern w:val="0"/>
          <w:sz w:val="24"/>
          <w:szCs w:val="24"/>
          <w:shd w:val="clear" w:color="auto" w:fill="FFFFFF"/>
        </w:rPr>
        <w:t>，固有维护成本为</w:t>
      </w:r>
      <m:oMath>
        <m:sSub>
          <m:sSubPr>
            <m:ctrlPr>
              <w:rPr>
                <w:rFonts w:ascii="Cambria Math" w:eastAsia="宋体" w:hAnsi="Cambria Math"/>
                <w:i/>
                <w:spacing w:val="4"/>
                <w:kern w:val="0"/>
                <w:sz w:val="24"/>
                <w:szCs w:val="24"/>
                <w:shd w:val="clear" w:color="auto" w:fill="FFFFFF"/>
              </w:rPr>
            </m:ctrlPr>
          </m:sSubPr>
          <m:e>
            <m:r>
              <w:rPr>
                <w:rFonts w:ascii="Cambria Math" w:eastAsia="宋体" w:hAnsi="Cambria Math" w:hint="eastAsia"/>
                <w:spacing w:val="4"/>
                <w:kern w:val="0"/>
                <w:sz w:val="24"/>
                <w:szCs w:val="24"/>
                <w:shd w:val="clear" w:color="auto" w:fill="FFFFFF"/>
              </w:rPr>
              <m:t>P</m:t>
            </m:r>
          </m:e>
          <m:sub>
            <m:r>
              <w:rPr>
                <w:rFonts w:ascii="Cambria Math" w:eastAsia="宋体" w:hAnsi="Cambria Math"/>
                <w:spacing w:val="4"/>
                <w:kern w:val="0"/>
                <w:sz w:val="24"/>
                <w:szCs w:val="24"/>
                <w:shd w:val="clear" w:color="auto" w:fill="FFFFFF"/>
              </w:rPr>
              <m:t>0</m:t>
            </m:r>
          </m:sub>
        </m:sSub>
      </m:oMath>
      <w:r>
        <w:rPr>
          <w:rFonts w:ascii="Times New Roman" w:eastAsia="宋体" w:hAnsi="Times New Roman" w:hint="eastAsia"/>
          <w:spacing w:val="4"/>
          <w:kern w:val="0"/>
          <w:sz w:val="24"/>
          <w:szCs w:val="24"/>
          <w:shd w:val="clear" w:color="auto" w:fill="FFFFFF"/>
        </w:rPr>
        <w:t>为</w:t>
      </w:r>
      <w:r>
        <w:rPr>
          <w:rFonts w:ascii="Times New Roman" w:eastAsia="宋体" w:hAnsi="Times New Roman" w:hint="eastAsia"/>
          <w:spacing w:val="4"/>
          <w:kern w:val="0"/>
          <w:sz w:val="24"/>
          <w:szCs w:val="24"/>
          <w:shd w:val="clear" w:color="auto" w:fill="FFFFFF"/>
        </w:rPr>
        <w:t>0.2</w:t>
      </w:r>
      <w:r>
        <w:rPr>
          <w:rFonts w:ascii="Times New Roman" w:eastAsia="宋体" w:hAnsi="Times New Roman" w:hint="eastAsia"/>
          <w:spacing w:val="4"/>
          <w:kern w:val="0"/>
          <w:sz w:val="24"/>
          <w:szCs w:val="24"/>
          <w:shd w:val="clear" w:color="auto" w:fill="FFFFFF"/>
        </w:rPr>
        <w:t>万元</w:t>
      </w:r>
      <w:r>
        <w:rPr>
          <w:rFonts w:ascii="Times New Roman" w:eastAsia="宋体" w:hAnsi="Times New Roman" w:hint="eastAsia"/>
          <w:spacing w:val="4"/>
          <w:kern w:val="0"/>
          <w:sz w:val="24"/>
          <w:szCs w:val="24"/>
          <w:shd w:val="clear" w:color="auto" w:fill="FFFFFF"/>
        </w:rPr>
        <w:t>/</w:t>
      </w:r>
      <w:r>
        <w:rPr>
          <w:rFonts w:ascii="Times New Roman" w:eastAsia="宋体" w:hAnsi="Times New Roman" w:hint="eastAsia"/>
          <w:spacing w:val="4"/>
          <w:kern w:val="0"/>
          <w:sz w:val="24"/>
          <w:szCs w:val="24"/>
          <w:shd w:val="clear" w:color="auto" w:fill="FFFFFF"/>
        </w:rPr>
        <w:t>（年</w:t>
      </w:r>
      <w:r>
        <w:rPr>
          <w:rFonts w:ascii="Times New Roman" w:eastAsia="宋体" w:hAnsi="Times New Roman" w:hint="eastAsia"/>
          <w:spacing w:val="4"/>
          <w:kern w:val="0"/>
          <w:sz w:val="24"/>
          <w:szCs w:val="24"/>
          <w:shd w:val="clear" w:color="auto" w:fill="FFFFFF"/>
        </w:rPr>
        <w:t>.</w:t>
      </w:r>
      <w:r>
        <w:rPr>
          <w:rFonts w:ascii="Times New Roman" w:eastAsia="宋体" w:hAnsi="Times New Roman" w:hint="eastAsia"/>
          <w:spacing w:val="4"/>
          <w:kern w:val="0"/>
          <w:sz w:val="24"/>
          <w:szCs w:val="24"/>
          <w:shd w:val="clear" w:color="auto" w:fill="FFFFFF"/>
        </w:rPr>
        <w:t>台）预测第</w:t>
      </w:r>
      <m:oMath>
        <m:r>
          <w:rPr>
            <w:rFonts w:ascii="Cambria Math" w:eastAsia="宋体" w:hAnsi="Cambria Math" w:hint="eastAsia"/>
            <w:spacing w:val="4"/>
            <w:kern w:val="0"/>
            <w:sz w:val="24"/>
            <w:szCs w:val="24"/>
            <w:shd w:val="clear" w:color="auto" w:fill="FFFFFF"/>
          </w:rPr>
          <m:t>i</m:t>
        </m:r>
      </m:oMath>
      <w:r>
        <w:rPr>
          <w:rFonts w:ascii="Times New Roman" w:eastAsia="宋体" w:hAnsi="Times New Roman" w:hint="eastAsia"/>
          <w:spacing w:val="4"/>
          <w:kern w:val="0"/>
          <w:sz w:val="24"/>
          <w:szCs w:val="24"/>
          <w:shd w:val="clear" w:color="auto" w:fill="FFFFFF"/>
        </w:rPr>
        <w:t>年单台维护成本为</w:t>
      </w:r>
    </w:p>
    <w:p w14:paraId="244AB6DD" w14:textId="77777777" w:rsidR="006174B2" w:rsidRDefault="00000000">
      <w:pPr>
        <w:widowControl/>
        <w:shd w:val="clear" w:color="auto" w:fill="FDFDFE"/>
        <w:spacing w:line="360" w:lineRule="auto"/>
        <w:jc w:val="left"/>
        <w:rPr>
          <w:rFonts w:ascii="Times New Roman" w:eastAsia="宋体" w:hAnsi="Times New Roman"/>
          <w:spacing w:val="4"/>
          <w:kern w:val="0"/>
          <w:sz w:val="24"/>
          <w:szCs w:val="24"/>
          <w:shd w:val="clear" w:color="auto" w:fill="FFFFFF"/>
        </w:rPr>
      </w:pPr>
      <m:oMathPara>
        <m:oMath>
          <m:r>
            <w:rPr>
              <w:rFonts w:ascii="Cambria Math" w:eastAsia="宋体" w:hAnsi="Cambria Math"/>
              <w:spacing w:val="4"/>
              <w:kern w:val="0"/>
              <w:sz w:val="24"/>
              <w:szCs w:val="24"/>
              <w:shd w:val="clear" w:color="auto" w:fill="FFFFFF"/>
            </w:rPr>
            <m:t>P=</m:t>
          </m:r>
          <m:sSub>
            <m:sSubPr>
              <m:ctrlPr>
                <w:rPr>
                  <w:rFonts w:ascii="Cambria Math" w:eastAsia="宋体" w:hAnsi="Cambria Math"/>
                  <w:i/>
                  <w:spacing w:val="4"/>
                  <w:kern w:val="0"/>
                  <w:sz w:val="24"/>
                  <w:szCs w:val="24"/>
                  <w:shd w:val="clear" w:color="auto" w:fill="FFFFFF"/>
                </w:rPr>
              </m:ctrlPr>
            </m:sSubPr>
            <m:e>
              <m:r>
                <w:rPr>
                  <w:rFonts w:ascii="Cambria Math" w:eastAsia="宋体" w:hAnsi="Cambria Math"/>
                  <w:spacing w:val="4"/>
                  <w:kern w:val="0"/>
                  <w:sz w:val="24"/>
                  <w:szCs w:val="24"/>
                  <w:shd w:val="clear" w:color="auto" w:fill="FFFFFF"/>
                </w:rPr>
                <m:t>P</m:t>
              </m:r>
            </m:e>
            <m:sub>
              <m:r>
                <w:rPr>
                  <w:rFonts w:ascii="Cambria Math" w:eastAsia="宋体" w:hAnsi="Cambria Math"/>
                  <w:spacing w:val="4"/>
                  <w:kern w:val="0"/>
                  <w:sz w:val="24"/>
                  <w:szCs w:val="24"/>
                  <w:shd w:val="clear" w:color="auto" w:fill="FFFFFF"/>
                </w:rPr>
                <m:t>0</m:t>
              </m:r>
            </m:sub>
          </m:sSub>
          <m:r>
            <w:rPr>
              <w:rFonts w:ascii="Cambria Math" w:eastAsia="宋体" w:hAnsi="Cambria Math"/>
              <w:spacing w:val="4"/>
              <w:kern w:val="0"/>
              <w:sz w:val="24"/>
              <w:szCs w:val="24"/>
              <w:shd w:val="clear" w:color="auto" w:fill="FFFFFF"/>
            </w:rPr>
            <m:t>+θ</m:t>
          </m:r>
          <m:func>
            <m:funcPr>
              <m:ctrlPr>
                <w:rPr>
                  <w:rFonts w:ascii="Cambria Math" w:eastAsia="宋体" w:hAnsi="Cambria Math"/>
                  <w:i/>
                  <w:spacing w:val="4"/>
                  <w:kern w:val="0"/>
                  <w:sz w:val="24"/>
                  <w:szCs w:val="24"/>
                  <w:shd w:val="clear" w:color="auto" w:fill="FFFFFF"/>
                </w:rPr>
              </m:ctrlPr>
            </m:funcPr>
            <m:fName>
              <m:r>
                <m:rPr>
                  <m:sty m:val="p"/>
                </m:rPr>
                <w:rPr>
                  <w:rFonts w:ascii="Cambria Math" w:eastAsia="宋体" w:hAnsi="Cambria Math"/>
                  <w:spacing w:val="4"/>
                  <w:kern w:val="0"/>
                  <w:sz w:val="24"/>
                  <w:szCs w:val="24"/>
                  <w:shd w:val="clear" w:color="auto" w:fill="FFFFFF"/>
                </w:rPr>
                <m:t>ln</m:t>
              </m:r>
            </m:fName>
            <m:e>
              <m:r>
                <w:rPr>
                  <w:rFonts w:ascii="Cambria Math" w:eastAsia="宋体" w:hAnsi="Cambria Math"/>
                  <w:spacing w:val="4"/>
                  <w:kern w:val="0"/>
                  <w:sz w:val="24"/>
                  <w:szCs w:val="24"/>
                  <w:shd w:val="clear" w:color="auto" w:fill="FFFFFF"/>
                </w:rPr>
                <m:t>(1+</m:t>
              </m:r>
              <m:f>
                <m:fPr>
                  <m:ctrlPr>
                    <w:rPr>
                      <w:rFonts w:ascii="Cambria Math" w:eastAsia="宋体" w:hAnsi="Cambria Math"/>
                      <w:i/>
                      <w:spacing w:val="4"/>
                      <w:kern w:val="0"/>
                      <w:sz w:val="24"/>
                      <w:szCs w:val="24"/>
                      <w:shd w:val="clear" w:color="auto" w:fill="FFFFFF"/>
                    </w:rPr>
                  </m:ctrlPr>
                </m:fPr>
                <m:num>
                  <m:r>
                    <w:rPr>
                      <w:rFonts w:ascii="Cambria Math" w:eastAsia="宋体" w:hAnsi="Cambria Math" w:hint="eastAsia"/>
                      <w:spacing w:val="4"/>
                      <w:kern w:val="0"/>
                      <w:sz w:val="24"/>
                      <w:szCs w:val="24"/>
                      <w:shd w:val="clear" w:color="auto" w:fill="FFFFFF"/>
                    </w:rPr>
                    <m:t>i</m:t>
                  </m:r>
                </m:num>
                <m:den>
                  <m:sSub>
                    <m:sSubPr>
                      <m:ctrlPr>
                        <w:rPr>
                          <w:rFonts w:ascii="Cambria Math" w:eastAsia="宋体" w:hAnsi="Cambria Math"/>
                          <w:i/>
                          <w:spacing w:val="4"/>
                          <w:kern w:val="0"/>
                          <w:sz w:val="24"/>
                          <w:szCs w:val="24"/>
                          <w:shd w:val="clear" w:color="auto" w:fill="FFFFFF"/>
                        </w:rPr>
                      </m:ctrlPr>
                    </m:sSubPr>
                    <m:e>
                      <m:r>
                        <w:rPr>
                          <w:rFonts w:ascii="Cambria Math" w:eastAsia="宋体" w:hAnsi="Cambria Math"/>
                          <w:spacing w:val="4"/>
                          <w:kern w:val="0"/>
                          <w:sz w:val="24"/>
                          <w:szCs w:val="24"/>
                          <w:shd w:val="clear" w:color="auto" w:fill="FFFFFF"/>
                        </w:rPr>
                        <m:t>N</m:t>
                      </m:r>
                    </m:e>
                    <m:sub>
                      <m:r>
                        <w:rPr>
                          <w:rFonts w:ascii="Cambria Math" w:eastAsia="宋体" w:hAnsi="Cambria Math"/>
                          <w:spacing w:val="4"/>
                          <w:kern w:val="0"/>
                          <w:sz w:val="24"/>
                          <w:szCs w:val="24"/>
                          <w:shd w:val="clear" w:color="auto" w:fill="FFFFFF"/>
                        </w:rPr>
                        <m:t>0</m:t>
                      </m:r>
                    </m:sub>
                  </m:sSub>
                </m:den>
              </m:f>
              <m:r>
                <w:rPr>
                  <w:rFonts w:ascii="Cambria Math" w:eastAsia="宋体" w:hAnsi="Cambria Math"/>
                  <w:spacing w:val="4"/>
                  <w:kern w:val="0"/>
                  <w:sz w:val="24"/>
                  <w:szCs w:val="24"/>
                  <w:shd w:val="clear" w:color="auto" w:fill="FFFFFF"/>
                </w:rPr>
                <m:t>)</m:t>
              </m:r>
            </m:e>
          </m:func>
          <m:r>
            <w:rPr>
              <w:rFonts w:ascii="Cambria Math" w:eastAsia="宋体" w:hAnsi="Cambria Math"/>
              <w:spacing w:val="4"/>
              <w:kern w:val="0"/>
              <w:sz w:val="24"/>
              <w:szCs w:val="24"/>
              <w:shd w:val="clear" w:color="auto" w:fill="FFFFFF"/>
            </w:rPr>
            <m:t>±δ</m:t>
          </m:r>
        </m:oMath>
      </m:oMathPara>
    </w:p>
    <w:p w14:paraId="615605A3" w14:textId="77777777" w:rsidR="006174B2" w:rsidRDefault="00000000">
      <w:pPr>
        <w:widowControl/>
        <w:shd w:val="clear" w:color="auto" w:fill="FDFDFE"/>
        <w:spacing w:line="360" w:lineRule="auto"/>
        <w:jc w:val="left"/>
        <w:rPr>
          <w:rFonts w:ascii="黑体" w:eastAsia="黑体" w:hAnsi="黑体" w:cs="黑体"/>
          <w:spacing w:val="4"/>
          <w:kern w:val="0"/>
          <w:sz w:val="24"/>
          <w:szCs w:val="24"/>
          <w:shd w:val="clear" w:color="auto" w:fill="FFFFFF"/>
        </w:rPr>
      </w:pPr>
      <w:r>
        <w:rPr>
          <w:rFonts w:ascii="黑体" w:eastAsia="黑体" w:hAnsi="黑体" w:cs="黑体" w:hint="eastAsia"/>
          <w:spacing w:val="4"/>
          <w:kern w:val="0"/>
          <w:sz w:val="24"/>
          <w:szCs w:val="24"/>
          <w:shd w:val="clear" w:color="auto" w:fill="FFFFFF"/>
        </w:rPr>
        <w:t>给定预计数据：</w:t>
      </w:r>
    </w:p>
    <w:p w14:paraId="3C2337C0" w14:textId="77777777" w:rsidR="006174B2" w:rsidRDefault="00000000">
      <w:pPr>
        <w:widowControl/>
        <w:shd w:val="clear" w:color="auto" w:fill="FDFDFE"/>
        <w:spacing w:line="360" w:lineRule="auto"/>
        <w:jc w:val="left"/>
        <w:rPr>
          <w:rFonts w:ascii="Times New Roman" w:eastAsia="宋体" w:hAnsi="Times New Roman"/>
          <w:spacing w:val="4"/>
          <w:kern w:val="0"/>
          <w:sz w:val="24"/>
          <w:szCs w:val="24"/>
          <w:shd w:val="clear" w:color="auto" w:fill="FFFFFF"/>
        </w:rPr>
      </w:pPr>
      <w:r>
        <w:rPr>
          <w:rFonts w:ascii="Times New Roman" w:eastAsia="宋体" w:hAnsi="Times New Roman"/>
          <w:spacing w:val="4"/>
          <w:kern w:val="0"/>
          <w:sz w:val="24"/>
          <w:szCs w:val="24"/>
          <w:shd w:val="clear" w:color="auto" w:fill="FFFFFF"/>
        </w:rPr>
        <w:t>研发成本：</w:t>
      </w:r>
      <w:r>
        <w:rPr>
          <w:rFonts w:ascii="Times New Roman" w:eastAsia="宋体" w:hAnsi="Times New Roman"/>
          <w:spacing w:val="4"/>
          <w:kern w:val="0"/>
          <w:sz w:val="24"/>
          <w:szCs w:val="24"/>
          <w:shd w:val="clear" w:color="auto" w:fill="FFFFFF"/>
        </w:rPr>
        <w:t>200</w:t>
      </w:r>
      <w:r>
        <w:rPr>
          <w:rFonts w:ascii="Times New Roman" w:eastAsia="宋体" w:hAnsi="Times New Roman"/>
          <w:spacing w:val="4"/>
          <w:kern w:val="0"/>
          <w:sz w:val="24"/>
          <w:szCs w:val="24"/>
          <w:shd w:val="clear" w:color="auto" w:fill="FFFFFF"/>
        </w:rPr>
        <w:t>万元</w:t>
      </w:r>
    </w:p>
    <w:p w14:paraId="2E1E8C0E" w14:textId="77777777" w:rsidR="006174B2" w:rsidRDefault="00000000">
      <w:pPr>
        <w:widowControl/>
        <w:shd w:val="clear" w:color="auto" w:fill="FDFDFE"/>
        <w:spacing w:line="360" w:lineRule="auto"/>
        <w:jc w:val="left"/>
        <w:rPr>
          <w:rFonts w:ascii="Times New Roman" w:eastAsia="宋体" w:hAnsi="Times New Roman"/>
          <w:spacing w:val="4"/>
          <w:kern w:val="0"/>
          <w:sz w:val="24"/>
          <w:szCs w:val="24"/>
          <w:shd w:val="clear" w:color="auto" w:fill="FFFFFF"/>
        </w:rPr>
      </w:pPr>
      <w:r>
        <w:rPr>
          <w:rFonts w:ascii="Times New Roman" w:eastAsia="宋体" w:hAnsi="Times New Roman"/>
          <w:spacing w:val="4"/>
          <w:kern w:val="0"/>
          <w:sz w:val="24"/>
          <w:szCs w:val="24"/>
          <w:shd w:val="clear" w:color="auto" w:fill="FFFFFF"/>
        </w:rPr>
        <w:t>生产成本（</w:t>
      </w:r>
      <w:r>
        <w:rPr>
          <w:rFonts w:ascii="Times New Roman" w:eastAsia="宋体" w:hAnsi="Times New Roman"/>
          <w:spacing w:val="4"/>
          <w:kern w:val="0"/>
          <w:sz w:val="24"/>
          <w:szCs w:val="24"/>
          <w:shd w:val="clear" w:color="auto" w:fill="FFFFFF"/>
        </w:rPr>
        <w:t>100</w:t>
      </w:r>
      <w:r>
        <w:rPr>
          <w:rFonts w:ascii="Times New Roman" w:eastAsia="宋体" w:hAnsi="Times New Roman"/>
          <w:spacing w:val="4"/>
          <w:kern w:val="0"/>
          <w:sz w:val="24"/>
          <w:szCs w:val="24"/>
          <w:shd w:val="clear" w:color="auto" w:fill="FFFFFF"/>
        </w:rPr>
        <w:t>台机器人</w:t>
      </w:r>
      <w:r>
        <w:rPr>
          <w:rFonts w:ascii="Times New Roman" w:eastAsia="宋体" w:hAnsi="Times New Roman"/>
          <w:spacing w:val="4"/>
          <w:kern w:val="0"/>
          <w:sz w:val="24"/>
          <w:szCs w:val="24"/>
          <w:shd w:val="clear" w:color="auto" w:fill="FFFFFF"/>
        </w:rPr>
        <w:t xml:space="preserve"> + 200</w:t>
      </w:r>
      <w:r>
        <w:rPr>
          <w:rFonts w:ascii="Times New Roman" w:eastAsia="宋体" w:hAnsi="Times New Roman"/>
          <w:spacing w:val="4"/>
          <w:kern w:val="0"/>
          <w:sz w:val="24"/>
          <w:szCs w:val="24"/>
          <w:shd w:val="clear" w:color="auto" w:fill="FFFFFF"/>
        </w:rPr>
        <w:t>台设备</w:t>
      </w:r>
      <w:r>
        <w:rPr>
          <w:rFonts w:ascii="Times New Roman" w:eastAsia="宋体" w:hAnsi="Times New Roman" w:hint="eastAsia"/>
          <w:spacing w:val="4"/>
          <w:kern w:val="0"/>
          <w:sz w:val="24"/>
          <w:szCs w:val="24"/>
          <w:shd w:val="clear" w:color="auto" w:fill="FFFFFF"/>
        </w:rPr>
        <w:t>维护</w:t>
      </w:r>
      <w:r>
        <w:rPr>
          <w:rFonts w:ascii="Times New Roman" w:eastAsia="宋体" w:hAnsi="Times New Roman"/>
          <w:spacing w:val="4"/>
          <w:kern w:val="0"/>
          <w:sz w:val="24"/>
          <w:szCs w:val="24"/>
          <w:shd w:val="clear" w:color="auto" w:fill="FFFFFF"/>
        </w:rPr>
        <w:t>）：</w:t>
      </w:r>
    </w:p>
    <w:p w14:paraId="64EFBD9D" w14:textId="77777777" w:rsidR="006174B2" w:rsidRDefault="00000000">
      <w:pPr>
        <w:widowControl/>
        <w:shd w:val="clear" w:color="auto" w:fill="FDFDFE"/>
        <w:spacing w:line="360" w:lineRule="auto"/>
        <w:jc w:val="left"/>
        <w:rPr>
          <w:rFonts w:ascii="Times New Roman" w:eastAsia="宋体" w:hAnsi="Times New Roman"/>
          <w:spacing w:val="4"/>
          <w:kern w:val="0"/>
          <w:sz w:val="24"/>
          <w:szCs w:val="24"/>
          <w:shd w:val="clear" w:color="auto" w:fill="FFFFFF"/>
        </w:rPr>
      </w:pPr>
      <w:r>
        <w:rPr>
          <w:rFonts w:ascii="Times New Roman" w:eastAsia="宋体" w:hAnsi="Times New Roman"/>
          <w:spacing w:val="4"/>
          <w:kern w:val="0"/>
          <w:sz w:val="24"/>
          <w:szCs w:val="24"/>
          <w:shd w:val="clear" w:color="auto" w:fill="FFFFFF"/>
        </w:rPr>
        <w:t>单台机器人成本：</w:t>
      </w:r>
      <w:r>
        <w:rPr>
          <w:rFonts w:ascii="Times New Roman" w:eastAsia="宋体" w:hAnsi="Times New Roman"/>
          <w:spacing w:val="4"/>
          <w:kern w:val="0"/>
          <w:sz w:val="24"/>
          <w:szCs w:val="24"/>
          <w:shd w:val="clear" w:color="auto" w:fill="FFFFFF"/>
        </w:rPr>
        <w:t>1</w:t>
      </w:r>
      <w:r>
        <w:rPr>
          <w:rFonts w:ascii="Times New Roman" w:eastAsia="宋体" w:hAnsi="Times New Roman"/>
          <w:spacing w:val="4"/>
          <w:kern w:val="0"/>
          <w:sz w:val="24"/>
          <w:szCs w:val="24"/>
          <w:shd w:val="clear" w:color="auto" w:fill="FFFFFF"/>
        </w:rPr>
        <w:t>万元</w:t>
      </w:r>
    </w:p>
    <w:p w14:paraId="5C4A29A4" w14:textId="77777777" w:rsidR="006174B2" w:rsidRDefault="00000000">
      <w:pPr>
        <w:widowControl/>
        <w:shd w:val="clear" w:color="auto" w:fill="FDFDFE"/>
        <w:spacing w:line="360" w:lineRule="auto"/>
        <w:jc w:val="left"/>
        <w:rPr>
          <w:rFonts w:ascii="Times New Roman" w:eastAsia="宋体" w:hAnsi="Times New Roman"/>
          <w:spacing w:val="4"/>
          <w:kern w:val="0"/>
          <w:sz w:val="24"/>
          <w:szCs w:val="24"/>
          <w:shd w:val="clear" w:color="auto" w:fill="FFFFFF"/>
        </w:rPr>
      </w:pPr>
      <w:r>
        <w:rPr>
          <w:rFonts w:ascii="Times New Roman" w:eastAsia="宋体" w:hAnsi="Times New Roman"/>
          <w:spacing w:val="4"/>
          <w:kern w:val="0"/>
          <w:sz w:val="24"/>
          <w:szCs w:val="24"/>
          <w:shd w:val="clear" w:color="auto" w:fill="FFFFFF"/>
        </w:rPr>
        <w:t>设备折旧（假设每台设备原值与机器人相同，即</w:t>
      </w:r>
      <w:r>
        <w:rPr>
          <w:rFonts w:ascii="Times New Roman" w:eastAsia="宋体" w:hAnsi="Times New Roman"/>
          <w:spacing w:val="4"/>
          <w:kern w:val="0"/>
          <w:sz w:val="24"/>
          <w:szCs w:val="24"/>
          <w:shd w:val="clear" w:color="auto" w:fill="FFFFFF"/>
        </w:rPr>
        <w:t>1</w:t>
      </w:r>
      <w:r>
        <w:rPr>
          <w:rFonts w:ascii="Times New Roman" w:eastAsia="宋体" w:hAnsi="Times New Roman"/>
          <w:spacing w:val="4"/>
          <w:kern w:val="0"/>
          <w:sz w:val="24"/>
          <w:szCs w:val="24"/>
          <w:shd w:val="clear" w:color="auto" w:fill="FFFFFF"/>
        </w:rPr>
        <w:t>万元，使用寿命</w:t>
      </w:r>
      <w:r>
        <w:rPr>
          <w:rFonts w:ascii="Times New Roman" w:eastAsia="宋体" w:hAnsi="Times New Roman"/>
          <w:spacing w:val="4"/>
          <w:kern w:val="0"/>
          <w:sz w:val="24"/>
          <w:szCs w:val="24"/>
          <w:shd w:val="clear" w:color="auto" w:fill="FFFFFF"/>
        </w:rPr>
        <w:t>5</w:t>
      </w:r>
      <w:r>
        <w:rPr>
          <w:rFonts w:ascii="Times New Roman" w:eastAsia="宋体" w:hAnsi="Times New Roman"/>
          <w:spacing w:val="4"/>
          <w:kern w:val="0"/>
          <w:sz w:val="24"/>
          <w:szCs w:val="24"/>
          <w:shd w:val="clear" w:color="auto" w:fill="FFFFFF"/>
        </w:rPr>
        <w:t>年，</w:t>
      </w:r>
      <w:r>
        <w:rPr>
          <w:rFonts w:ascii="Times New Roman" w:eastAsia="宋体" w:hAnsi="Times New Roman" w:hint="eastAsia"/>
          <w:spacing w:val="4"/>
          <w:kern w:val="0"/>
          <w:sz w:val="24"/>
          <w:szCs w:val="24"/>
          <w:shd w:val="clear" w:color="auto" w:fill="FFFFFF"/>
        </w:rPr>
        <w:t>对数</w:t>
      </w:r>
      <w:r>
        <w:rPr>
          <w:rFonts w:ascii="Times New Roman" w:eastAsia="宋体" w:hAnsi="Times New Roman"/>
          <w:spacing w:val="4"/>
          <w:kern w:val="0"/>
          <w:sz w:val="24"/>
          <w:szCs w:val="24"/>
          <w:shd w:val="clear" w:color="auto" w:fill="FFFFFF"/>
        </w:rPr>
        <w:t>折旧法）：</w:t>
      </w:r>
      <w:r>
        <w:rPr>
          <w:rFonts w:ascii="Times New Roman" w:eastAsia="宋体" w:hAnsi="Times New Roman" w:hint="eastAsia"/>
          <w:spacing w:val="4"/>
          <w:kern w:val="0"/>
          <w:sz w:val="24"/>
          <w:szCs w:val="24"/>
          <w:shd w:val="clear" w:color="auto" w:fill="FFFFFF"/>
        </w:rPr>
        <w:t>P</w:t>
      </w:r>
      <w:r>
        <w:rPr>
          <w:rFonts w:ascii="Times New Roman" w:eastAsia="宋体" w:hAnsi="Times New Roman"/>
          <w:spacing w:val="4"/>
          <w:kern w:val="0"/>
          <w:sz w:val="24"/>
          <w:szCs w:val="24"/>
          <w:shd w:val="clear" w:color="auto" w:fill="FFFFFF"/>
        </w:rPr>
        <w:t>万元</w:t>
      </w:r>
      <w:r>
        <w:rPr>
          <w:rFonts w:ascii="Times New Roman" w:eastAsia="宋体" w:hAnsi="Times New Roman"/>
          <w:spacing w:val="4"/>
          <w:kern w:val="0"/>
          <w:sz w:val="24"/>
          <w:szCs w:val="24"/>
          <w:shd w:val="clear" w:color="auto" w:fill="FFFFFF"/>
        </w:rPr>
        <w:t>/</w:t>
      </w:r>
      <w:r>
        <w:rPr>
          <w:rFonts w:ascii="Times New Roman" w:eastAsia="宋体" w:hAnsi="Times New Roman"/>
          <w:spacing w:val="4"/>
          <w:kern w:val="0"/>
          <w:sz w:val="24"/>
          <w:szCs w:val="24"/>
          <w:shd w:val="clear" w:color="auto" w:fill="FFFFFF"/>
        </w:rPr>
        <w:t>年</w:t>
      </w:r>
      <w:r>
        <w:rPr>
          <w:rFonts w:ascii="Times New Roman" w:eastAsia="宋体" w:hAnsi="Times New Roman"/>
          <w:spacing w:val="4"/>
          <w:kern w:val="0"/>
          <w:sz w:val="24"/>
          <w:szCs w:val="24"/>
          <w:shd w:val="clear" w:color="auto" w:fill="FFFFFF"/>
        </w:rPr>
        <w:t>/</w:t>
      </w:r>
      <w:r>
        <w:rPr>
          <w:rFonts w:ascii="Times New Roman" w:eastAsia="宋体" w:hAnsi="Times New Roman"/>
          <w:spacing w:val="4"/>
          <w:kern w:val="0"/>
          <w:sz w:val="24"/>
          <w:szCs w:val="24"/>
          <w:shd w:val="clear" w:color="auto" w:fill="FFFFFF"/>
        </w:rPr>
        <w:t>台</w:t>
      </w:r>
    </w:p>
    <w:p w14:paraId="242C7137" w14:textId="77777777" w:rsidR="006174B2" w:rsidRDefault="00000000">
      <w:pPr>
        <w:widowControl/>
        <w:shd w:val="clear" w:color="auto" w:fill="FDFDFE"/>
        <w:spacing w:line="360" w:lineRule="auto"/>
        <w:jc w:val="left"/>
        <w:rPr>
          <w:rFonts w:ascii="Times New Roman" w:eastAsia="宋体" w:hAnsi="Times New Roman"/>
          <w:spacing w:val="4"/>
          <w:kern w:val="0"/>
          <w:sz w:val="24"/>
          <w:szCs w:val="24"/>
          <w:shd w:val="clear" w:color="auto" w:fill="FFFFFF"/>
        </w:rPr>
      </w:pPr>
      <w:r>
        <w:rPr>
          <w:rFonts w:ascii="Times New Roman" w:eastAsia="宋体" w:hAnsi="Times New Roman"/>
          <w:spacing w:val="4"/>
          <w:kern w:val="0"/>
          <w:sz w:val="24"/>
          <w:szCs w:val="24"/>
          <w:shd w:val="clear" w:color="auto" w:fill="FFFFFF"/>
        </w:rPr>
        <w:t>运营成本和法律与合</w:t>
      </w:r>
      <w:proofErr w:type="gramStart"/>
      <w:r>
        <w:rPr>
          <w:rFonts w:ascii="Times New Roman" w:eastAsia="宋体" w:hAnsi="Times New Roman"/>
          <w:spacing w:val="4"/>
          <w:kern w:val="0"/>
          <w:sz w:val="24"/>
          <w:szCs w:val="24"/>
          <w:shd w:val="clear" w:color="auto" w:fill="FFFFFF"/>
        </w:rPr>
        <w:t>规</w:t>
      </w:r>
      <w:proofErr w:type="gramEnd"/>
      <w:r>
        <w:rPr>
          <w:rFonts w:ascii="Times New Roman" w:eastAsia="宋体" w:hAnsi="Times New Roman"/>
          <w:spacing w:val="4"/>
          <w:kern w:val="0"/>
          <w:sz w:val="24"/>
          <w:szCs w:val="24"/>
          <w:shd w:val="clear" w:color="auto" w:fill="FFFFFF"/>
        </w:rPr>
        <w:t>成本：</w:t>
      </w:r>
      <w:r>
        <w:rPr>
          <w:rFonts w:ascii="Times New Roman" w:eastAsia="宋体" w:hAnsi="Times New Roman"/>
          <w:spacing w:val="4"/>
          <w:kern w:val="0"/>
          <w:sz w:val="24"/>
          <w:szCs w:val="24"/>
          <w:shd w:val="clear" w:color="auto" w:fill="FFFFFF"/>
        </w:rPr>
        <w:t xml:space="preserve"> 100</w:t>
      </w:r>
      <w:r>
        <w:rPr>
          <w:rFonts w:ascii="Times New Roman" w:eastAsia="宋体" w:hAnsi="Times New Roman"/>
          <w:spacing w:val="4"/>
          <w:kern w:val="0"/>
          <w:sz w:val="24"/>
          <w:szCs w:val="24"/>
          <w:shd w:val="clear" w:color="auto" w:fill="FFFFFF"/>
        </w:rPr>
        <w:t>万元</w:t>
      </w:r>
    </w:p>
    <w:p w14:paraId="58000F64" w14:textId="77777777" w:rsidR="006174B2" w:rsidRDefault="00000000">
      <w:pPr>
        <w:widowControl/>
        <w:shd w:val="clear" w:color="auto" w:fill="FDFDFE"/>
        <w:spacing w:line="360" w:lineRule="auto"/>
        <w:jc w:val="left"/>
        <w:rPr>
          <w:rFonts w:ascii="Times New Roman" w:eastAsia="宋体" w:hAnsi="Times New Roman"/>
          <w:spacing w:val="4"/>
          <w:kern w:val="0"/>
          <w:sz w:val="24"/>
          <w:szCs w:val="24"/>
          <w:shd w:val="clear" w:color="auto" w:fill="FFFFFF"/>
        </w:rPr>
      </w:pPr>
      <w:r>
        <w:rPr>
          <w:rFonts w:ascii="Times New Roman" w:eastAsia="宋体" w:hAnsi="Times New Roman" w:hint="eastAsia"/>
          <w:spacing w:val="4"/>
          <w:kern w:val="0"/>
          <w:sz w:val="24"/>
          <w:szCs w:val="24"/>
          <w:shd w:val="clear" w:color="auto" w:fill="FFFFFF"/>
        </w:rPr>
        <w:t>大型应急移动储能设备</w:t>
      </w:r>
      <w:r>
        <w:rPr>
          <w:rFonts w:ascii="Times New Roman" w:eastAsia="宋体" w:hAnsi="Times New Roman"/>
          <w:spacing w:val="4"/>
          <w:kern w:val="0"/>
          <w:sz w:val="24"/>
          <w:szCs w:val="24"/>
          <w:shd w:val="clear" w:color="auto" w:fill="FFFFFF"/>
        </w:rPr>
        <w:t>服务</w:t>
      </w:r>
      <w:r>
        <w:rPr>
          <w:rFonts w:ascii="Times New Roman" w:eastAsia="宋体" w:hAnsi="Times New Roman" w:hint="eastAsia"/>
          <w:spacing w:val="4"/>
          <w:kern w:val="0"/>
          <w:sz w:val="24"/>
          <w:szCs w:val="24"/>
          <w:shd w:val="clear" w:color="auto" w:fill="FFFFFF"/>
        </w:rPr>
        <w:t>，其他广告，服务费用收取</w:t>
      </w:r>
      <w:r>
        <w:rPr>
          <w:rFonts w:ascii="Times New Roman" w:eastAsia="宋体" w:hAnsi="Times New Roman"/>
          <w:spacing w:val="4"/>
          <w:kern w:val="0"/>
          <w:sz w:val="24"/>
          <w:szCs w:val="24"/>
          <w:shd w:val="clear" w:color="auto" w:fill="FFFFFF"/>
        </w:rPr>
        <w:t>：</w:t>
      </w:r>
      <w:r>
        <w:rPr>
          <w:rFonts w:ascii="Times New Roman" w:eastAsia="宋体" w:hAnsi="Times New Roman" w:hint="eastAsia"/>
          <w:spacing w:val="4"/>
          <w:kern w:val="0"/>
          <w:sz w:val="24"/>
          <w:szCs w:val="24"/>
          <w:shd w:val="clear" w:color="auto" w:fill="FFFFFF"/>
        </w:rPr>
        <w:t>450</w:t>
      </w:r>
      <w:r>
        <w:rPr>
          <w:rFonts w:ascii="Times New Roman" w:eastAsia="宋体" w:hAnsi="Times New Roman"/>
          <w:spacing w:val="4"/>
          <w:kern w:val="0"/>
          <w:sz w:val="24"/>
          <w:szCs w:val="24"/>
          <w:shd w:val="clear" w:color="auto" w:fill="FFFFFF"/>
        </w:rPr>
        <w:t>万元</w:t>
      </w:r>
    </w:p>
    <w:p w14:paraId="155B42F3" w14:textId="77777777" w:rsidR="006174B2" w:rsidRDefault="00000000">
      <w:pPr>
        <w:widowControl/>
        <w:shd w:val="clear" w:color="auto" w:fill="FDFDFE"/>
        <w:spacing w:line="360" w:lineRule="auto"/>
        <w:jc w:val="left"/>
        <w:rPr>
          <w:rFonts w:ascii="Times New Roman" w:eastAsia="宋体" w:hAnsi="Times New Roman"/>
          <w:spacing w:val="4"/>
          <w:kern w:val="0"/>
          <w:sz w:val="24"/>
          <w:szCs w:val="24"/>
          <w:shd w:val="clear" w:color="auto" w:fill="FFFFFF"/>
        </w:rPr>
      </w:pPr>
      <w:r>
        <w:rPr>
          <w:rFonts w:ascii="Times New Roman" w:eastAsia="宋体" w:hAnsi="Times New Roman" w:hint="eastAsia"/>
          <w:spacing w:val="4"/>
          <w:kern w:val="0"/>
          <w:sz w:val="24"/>
          <w:szCs w:val="24"/>
          <w:shd w:val="clear" w:color="auto" w:fill="FFFFFF"/>
        </w:rPr>
        <w:t>我们采用简化的</w:t>
      </w:r>
      <w:r>
        <w:rPr>
          <w:rFonts w:ascii="Times New Roman" w:eastAsia="宋体" w:hAnsi="Times New Roman" w:hint="eastAsia"/>
          <w:spacing w:val="4"/>
          <w:kern w:val="0"/>
          <w:sz w:val="24"/>
          <w:szCs w:val="24"/>
          <w:shd w:val="clear" w:color="auto" w:fill="FFFFFF"/>
        </w:rPr>
        <w:t>ARIMA</w:t>
      </w:r>
      <w:r>
        <w:rPr>
          <w:rFonts w:ascii="Times New Roman" w:eastAsia="宋体" w:hAnsi="Times New Roman" w:hint="eastAsia"/>
          <w:spacing w:val="4"/>
          <w:kern w:val="0"/>
          <w:sz w:val="24"/>
          <w:szCs w:val="24"/>
          <w:shd w:val="clear" w:color="auto" w:fill="FFFFFF"/>
        </w:rPr>
        <w:t>模型预计移动机器人出租和销售年度收入期望值</w:t>
      </w:r>
    </w:p>
    <w:p w14:paraId="69243306" w14:textId="77777777" w:rsidR="006174B2" w:rsidRDefault="00000000">
      <w:pPr>
        <w:widowControl/>
        <w:shd w:val="clear" w:color="auto" w:fill="FDFDFE"/>
        <w:spacing w:line="360" w:lineRule="auto"/>
        <w:jc w:val="left"/>
        <w:rPr>
          <w:rFonts w:ascii="Times New Roman" w:eastAsia="宋体" w:hAnsi="Times New Roman"/>
          <w:spacing w:val="4"/>
          <w:kern w:val="0"/>
          <w:sz w:val="24"/>
          <w:szCs w:val="24"/>
          <w:shd w:val="clear" w:color="auto" w:fill="FFFFFF"/>
        </w:rPr>
      </w:pPr>
      <w:r>
        <w:rPr>
          <w:rFonts w:ascii="Times New Roman" w:eastAsia="宋体" w:hAnsi="Times New Roman" w:hint="eastAsia"/>
          <w:spacing w:val="4"/>
          <w:kern w:val="0"/>
          <w:sz w:val="24"/>
          <w:szCs w:val="24"/>
          <w:shd w:val="clear" w:color="auto" w:fill="FFFFFF"/>
        </w:rPr>
        <w:t>记第</w:t>
      </w:r>
      <w:proofErr w:type="spellStart"/>
      <w:r>
        <w:rPr>
          <w:rFonts w:ascii="Times New Roman" w:eastAsia="宋体" w:hAnsi="Times New Roman" w:hint="eastAsia"/>
          <w:spacing w:val="4"/>
          <w:kern w:val="0"/>
          <w:sz w:val="24"/>
          <w:szCs w:val="24"/>
          <w:shd w:val="clear" w:color="auto" w:fill="FFFFFF"/>
        </w:rPr>
        <w:t>i</w:t>
      </w:r>
      <w:proofErr w:type="spellEnd"/>
      <w:r>
        <w:rPr>
          <w:rFonts w:ascii="Times New Roman" w:eastAsia="宋体" w:hAnsi="Times New Roman" w:hint="eastAsia"/>
          <w:spacing w:val="4"/>
          <w:kern w:val="0"/>
          <w:sz w:val="24"/>
          <w:szCs w:val="24"/>
          <w:shd w:val="clear" w:color="auto" w:fill="FFFFFF"/>
        </w:rPr>
        <w:t>年的年度收入为</w:t>
      </w:r>
      <m:oMath>
        <m:sSub>
          <m:sSubPr>
            <m:ctrlPr>
              <w:rPr>
                <w:rFonts w:ascii="Cambria Math" w:eastAsia="宋体" w:hAnsi="Cambria Math"/>
                <w:i/>
                <w:spacing w:val="4"/>
                <w:kern w:val="0"/>
                <w:sz w:val="24"/>
                <w:szCs w:val="24"/>
                <w:shd w:val="clear" w:color="auto" w:fill="FFFFFF"/>
              </w:rPr>
            </m:ctrlPr>
          </m:sSubPr>
          <m:e>
            <m:r>
              <w:rPr>
                <w:rFonts w:ascii="Cambria Math" w:eastAsia="宋体" w:hAnsi="Cambria Math"/>
                <w:spacing w:val="4"/>
                <w:kern w:val="0"/>
                <w:sz w:val="24"/>
                <w:szCs w:val="24"/>
                <w:shd w:val="clear" w:color="auto" w:fill="FFFFFF"/>
              </w:rPr>
              <m:t>W</m:t>
            </m:r>
          </m:e>
          <m:sub>
            <m:r>
              <w:rPr>
                <w:rFonts w:ascii="Cambria Math" w:eastAsia="宋体" w:hAnsi="Cambria Math" w:hint="eastAsia"/>
                <w:spacing w:val="4"/>
                <w:kern w:val="0"/>
                <w:sz w:val="24"/>
                <w:szCs w:val="24"/>
                <w:shd w:val="clear" w:color="auto" w:fill="FFFFFF"/>
              </w:rPr>
              <m:t>i</m:t>
            </m:r>
          </m:sub>
        </m:sSub>
      </m:oMath>
      <w:r>
        <w:rPr>
          <w:rFonts w:ascii="Times New Roman" w:eastAsia="宋体" w:hAnsi="Times New Roman" w:hint="eastAsia"/>
          <w:spacing w:val="4"/>
          <w:kern w:val="0"/>
          <w:sz w:val="24"/>
          <w:szCs w:val="24"/>
          <w:shd w:val="clear" w:color="auto" w:fill="FFFFFF"/>
        </w:rPr>
        <w:t>，基于上一年收入和公司当年总资产（</w:t>
      </w:r>
      <w:r>
        <w:rPr>
          <w:rFonts w:ascii="Times New Roman" w:eastAsia="宋体" w:hAnsi="Times New Roman" w:hint="eastAsia"/>
          <w:spacing w:val="4"/>
          <w:kern w:val="0"/>
          <w:sz w:val="24"/>
          <w:szCs w:val="24"/>
          <w:shd w:val="clear" w:color="auto" w:fill="FFFFFF"/>
        </w:rPr>
        <w:t>CP</w:t>
      </w:r>
      <w:r>
        <w:rPr>
          <w:rFonts w:ascii="Times New Roman" w:eastAsia="宋体" w:hAnsi="Times New Roman" w:hint="eastAsia"/>
          <w:spacing w:val="4"/>
          <w:kern w:val="0"/>
          <w:sz w:val="24"/>
          <w:szCs w:val="24"/>
          <w:shd w:val="clear" w:color="auto" w:fill="FFFFFF"/>
        </w:rPr>
        <w:t>）的加权求和，引入无量纲系数</w:t>
      </w:r>
      <m:oMath>
        <m:sSub>
          <m:sSubPr>
            <m:ctrlPr>
              <w:rPr>
                <w:rFonts w:ascii="Cambria Math" w:eastAsia="宋体" w:hAnsi="Cambria Math"/>
                <w:i/>
                <w:spacing w:val="4"/>
                <w:kern w:val="0"/>
                <w:sz w:val="24"/>
                <w:szCs w:val="24"/>
                <w:shd w:val="clear" w:color="auto" w:fill="FFFFFF"/>
              </w:rPr>
            </m:ctrlPr>
          </m:sSubPr>
          <m:e>
            <m:r>
              <w:rPr>
                <w:rFonts w:ascii="Cambria Math" w:eastAsia="宋体" w:hAnsi="Cambria Math"/>
                <w:spacing w:val="4"/>
                <w:kern w:val="0"/>
                <w:sz w:val="24"/>
                <w:szCs w:val="24"/>
                <w:shd w:val="clear" w:color="auto" w:fill="FFFFFF"/>
              </w:rPr>
              <m:t>μ</m:t>
            </m:r>
          </m:e>
          <m:sub>
            <m:r>
              <w:rPr>
                <w:rFonts w:ascii="Cambria Math" w:eastAsia="宋体" w:hAnsi="Cambria Math" w:hint="eastAsia"/>
                <w:spacing w:val="4"/>
                <w:kern w:val="0"/>
                <w:sz w:val="24"/>
                <w:szCs w:val="24"/>
                <w:shd w:val="clear" w:color="auto" w:fill="FFFFFF"/>
              </w:rPr>
              <m:t>i</m:t>
            </m:r>
          </m:sub>
        </m:sSub>
      </m:oMath>
      <w:r>
        <w:rPr>
          <w:rFonts w:ascii="Times New Roman" w:eastAsia="宋体" w:hAnsi="Times New Roman" w:hint="eastAsia"/>
          <w:spacing w:val="4"/>
          <w:kern w:val="0"/>
          <w:sz w:val="24"/>
          <w:szCs w:val="24"/>
          <w:shd w:val="clear" w:color="auto" w:fill="FFFFFF"/>
        </w:rPr>
        <w:t>，我们评估该年的出租销售收入</w:t>
      </w:r>
    </w:p>
    <w:bookmarkStart w:id="31" w:name="_Hlk162084581"/>
    <w:p w14:paraId="2CC669B6" w14:textId="77777777" w:rsidR="006174B2" w:rsidRDefault="00000000">
      <w:pPr>
        <w:widowControl/>
        <w:shd w:val="clear" w:color="auto" w:fill="FDFDFE"/>
        <w:spacing w:line="360" w:lineRule="auto"/>
        <w:jc w:val="left"/>
        <w:rPr>
          <w:rFonts w:ascii="Times New Roman" w:eastAsia="宋体" w:hAnsi="Times New Roman"/>
          <w:i/>
          <w:spacing w:val="4"/>
          <w:kern w:val="0"/>
          <w:sz w:val="24"/>
          <w:szCs w:val="24"/>
          <w:shd w:val="clear" w:color="auto" w:fill="FFFFFF"/>
        </w:rPr>
      </w:pPr>
      <m:oMathPara>
        <m:oMath>
          <m:sSub>
            <m:sSubPr>
              <m:ctrlPr>
                <w:rPr>
                  <w:rFonts w:ascii="Cambria Math" w:eastAsia="宋体" w:hAnsi="Cambria Math"/>
                  <w:i/>
                  <w:spacing w:val="4"/>
                  <w:kern w:val="0"/>
                  <w:sz w:val="24"/>
                  <w:szCs w:val="24"/>
                  <w:shd w:val="clear" w:color="auto" w:fill="FFFFFF"/>
                </w:rPr>
              </m:ctrlPr>
            </m:sSubPr>
            <m:e>
              <m:r>
                <w:rPr>
                  <w:rFonts w:ascii="Cambria Math" w:eastAsia="宋体" w:hAnsi="Cambria Math"/>
                  <w:spacing w:val="4"/>
                  <w:kern w:val="0"/>
                  <w:sz w:val="24"/>
                  <w:szCs w:val="24"/>
                  <w:shd w:val="clear" w:color="auto" w:fill="FFFFFF"/>
                </w:rPr>
                <m:t>W</m:t>
              </m:r>
            </m:e>
            <m:sub>
              <m:r>
                <w:rPr>
                  <w:rFonts w:ascii="Cambria Math" w:eastAsia="宋体" w:hAnsi="Cambria Math" w:hint="eastAsia"/>
                  <w:spacing w:val="4"/>
                  <w:kern w:val="0"/>
                  <w:sz w:val="24"/>
                  <w:szCs w:val="24"/>
                  <w:shd w:val="clear" w:color="auto" w:fill="FFFFFF"/>
                </w:rPr>
                <m:t>i</m:t>
              </m:r>
            </m:sub>
          </m:sSub>
          <m:r>
            <w:rPr>
              <w:rFonts w:ascii="Cambria Math" w:eastAsia="宋体" w:hAnsi="Cambria Math"/>
              <w:spacing w:val="4"/>
              <w:kern w:val="0"/>
              <w:sz w:val="24"/>
              <w:szCs w:val="24"/>
              <w:shd w:val="clear" w:color="auto" w:fill="FFFFFF"/>
            </w:rPr>
            <m:t>=</m:t>
          </m:r>
          <m:sSub>
            <m:sSubPr>
              <m:ctrlPr>
                <w:rPr>
                  <w:rFonts w:ascii="Cambria Math" w:eastAsia="宋体" w:hAnsi="Cambria Math"/>
                  <w:i/>
                  <w:spacing w:val="4"/>
                  <w:kern w:val="0"/>
                  <w:sz w:val="24"/>
                  <w:szCs w:val="24"/>
                  <w:shd w:val="clear" w:color="auto" w:fill="FFFFFF"/>
                </w:rPr>
              </m:ctrlPr>
            </m:sSubPr>
            <m:e>
              <m:r>
                <w:rPr>
                  <w:rFonts w:ascii="Cambria Math" w:eastAsia="宋体" w:hAnsi="Cambria Math"/>
                  <w:spacing w:val="4"/>
                  <w:kern w:val="0"/>
                  <w:sz w:val="24"/>
                  <w:szCs w:val="24"/>
                  <w:shd w:val="clear" w:color="auto" w:fill="FFFFFF"/>
                </w:rPr>
                <m:t>μ</m:t>
              </m:r>
            </m:e>
            <m:sub>
              <m:r>
                <w:rPr>
                  <w:rFonts w:ascii="Cambria Math" w:eastAsia="宋体" w:hAnsi="Cambria Math" w:hint="eastAsia"/>
                  <w:spacing w:val="4"/>
                  <w:kern w:val="0"/>
                  <w:sz w:val="24"/>
                  <w:szCs w:val="24"/>
                  <w:shd w:val="clear" w:color="auto" w:fill="FFFFFF"/>
                </w:rPr>
                <m:t>i</m:t>
              </m:r>
            </m:sub>
          </m:sSub>
          <m:d>
            <m:dPr>
              <m:begChr m:val="（"/>
              <m:endChr m:val="）"/>
              <m:ctrlPr>
                <w:rPr>
                  <w:rFonts w:ascii="Cambria Math" w:eastAsia="宋体" w:hAnsi="Cambria Math"/>
                  <w:i/>
                  <w:spacing w:val="4"/>
                  <w:kern w:val="0"/>
                  <w:sz w:val="24"/>
                  <w:szCs w:val="24"/>
                  <w:shd w:val="clear" w:color="auto" w:fill="FFFFFF"/>
                </w:rPr>
              </m:ctrlPr>
            </m:dPr>
            <m:e>
              <m:r>
                <w:rPr>
                  <w:rFonts w:ascii="Cambria Math" w:eastAsia="宋体" w:hAnsi="Cambria Math"/>
                  <w:spacing w:val="4"/>
                  <w:kern w:val="0"/>
                  <w:sz w:val="24"/>
                  <w:szCs w:val="24"/>
                  <w:shd w:val="clear" w:color="auto" w:fill="FFFFFF"/>
                </w:rPr>
                <m:t>CP</m:t>
              </m:r>
            </m:e>
          </m:d>
          <m:r>
            <w:rPr>
              <w:rFonts w:ascii="Cambria Math" w:eastAsia="宋体" w:hAnsi="Cambria Math"/>
              <w:spacing w:val="4"/>
              <w:kern w:val="0"/>
              <w:sz w:val="24"/>
              <w:szCs w:val="24"/>
              <w:shd w:val="clear" w:color="auto" w:fill="FFFFFF"/>
            </w:rPr>
            <m:t>+</m:t>
          </m:r>
          <m:d>
            <m:dPr>
              <m:begChr m:val="（"/>
              <m:endChr m:val="）"/>
              <m:ctrlPr>
                <w:rPr>
                  <w:rFonts w:ascii="Cambria Math" w:eastAsia="宋体" w:hAnsi="Cambria Math"/>
                  <w:i/>
                  <w:spacing w:val="4"/>
                  <w:kern w:val="0"/>
                  <w:sz w:val="24"/>
                  <w:szCs w:val="24"/>
                  <w:shd w:val="clear" w:color="auto" w:fill="FFFFFF"/>
                </w:rPr>
              </m:ctrlPr>
            </m:dPr>
            <m:e>
              <m:r>
                <w:rPr>
                  <w:rFonts w:ascii="Cambria Math" w:eastAsia="宋体" w:hAnsi="Cambria Math"/>
                  <w:spacing w:val="4"/>
                  <w:kern w:val="0"/>
                  <w:sz w:val="24"/>
                  <w:szCs w:val="24"/>
                  <w:shd w:val="clear" w:color="auto" w:fill="FFFFFF"/>
                </w:rPr>
                <m:t>1-</m:t>
              </m:r>
              <m:sSub>
                <m:sSubPr>
                  <m:ctrlPr>
                    <w:rPr>
                      <w:rFonts w:ascii="Cambria Math" w:eastAsia="宋体" w:hAnsi="Cambria Math"/>
                      <w:i/>
                      <w:spacing w:val="4"/>
                      <w:kern w:val="0"/>
                      <w:sz w:val="24"/>
                      <w:szCs w:val="24"/>
                      <w:shd w:val="clear" w:color="auto" w:fill="FFFFFF"/>
                    </w:rPr>
                  </m:ctrlPr>
                </m:sSubPr>
                <m:e>
                  <m:r>
                    <w:rPr>
                      <w:rFonts w:ascii="Cambria Math" w:eastAsia="宋体" w:hAnsi="Cambria Math"/>
                      <w:spacing w:val="4"/>
                      <w:kern w:val="0"/>
                      <w:sz w:val="24"/>
                      <w:szCs w:val="24"/>
                      <w:shd w:val="clear" w:color="auto" w:fill="FFFFFF"/>
                    </w:rPr>
                    <m:t>μ</m:t>
                  </m:r>
                </m:e>
                <m:sub>
                  <m:r>
                    <w:rPr>
                      <w:rFonts w:ascii="Cambria Math" w:eastAsia="宋体" w:hAnsi="Cambria Math" w:hint="eastAsia"/>
                      <w:spacing w:val="4"/>
                      <w:kern w:val="0"/>
                      <w:sz w:val="24"/>
                      <w:szCs w:val="24"/>
                      <w:shd w:val="clear" w:color="auto" w:fill="FFFFFF"/>
                    </w:rPr>
                    <m:t>i</m:t>
                  </m:r>
                </m:sub>
              </m:sSub>
            </m:e>
          </m:d>
          <m:sSub>
            <m:sSubPr>
              <m:ctrlPr>
                <w:rPr>
                  <w:rFonts w:ascii="Cambria Math" w:eastAsia="宋体" w:hAnsi="Cambria Math"/>
                  <w:i/>
                  <w:spacing w:val="4"/>
                  <w:kern w:val="0"/>
                  <w:sz w:val="24"/>
                  <w:szCs w:val="24"/>
                  <w:shd w:val="clear" w:color="auto" w:fill="FFFFFF"/>
                </w:rPr>
              </m:ctrlPr>
            </m:sSubPr>
            <m:e>
              <m:r>
                <w:rPr>
                  <w:rFonts w:ascii="Cambria Math" w:eastAsia="宋体" w:hAnsi="Cambria Math"/>
                  <w:spacing w:val="4"/>
                  <w:kern w:val="0"/>
                  <w:sz w:val="24"/>
                  <w:szCs w:val="24"/>
                  <w:shd w:val="clear" w:color="auto" w:fill="FFFFFF"/>
                </w:rPr>
                <m:t>W</m:t>
              </m:r>
            </m:e>
            <m:sub>
              <m:r>
                <w:rPr>
                  <w:rFonts w:ascii="Cambria Math" w:eastAsia="宋体" w:hAnsi="Cambria Math" w:hint="eastAsia"/>
                  <w:spacing w:val="4"/>
                  <w:kern w:val="0"/>
                  <w:sz w:val="24"/>
                  <w:szCs w:val="24"/>
                  <w:shd w:val="clear" w:color="auto" w:fill="FFFFFF"/>
                </w:rPr>
                <m:t>i</m:t>
              </m:r>
              <m:r>
                <w:rPr>
                  <w:rFonts w:ascii="Cambria Math" w:eastAsia="宋体" w:hAnsi="Cambria Math"/>
                  <w:spacing w:val="4"/>
                  <w:kern w:val="0"/>
                  <w:sz w:val="24"/>
                  <w:szCs w:val="24"/>
                  <w:shd w:val="clear" w:color="auto" w:fill="FFFFFF"/>
                </w:rPr>
                <m:t>-1</m:t>
              </m:r>
            </m:sub>
          </m:sSub>
        </m:oMath>
      </m:oMathPara>
    </w:p>
    <w:bookmarkEnd w:id="31"/>
    <w:p w14:paraId="52D2409C" w14:textId="77777777" w:rsidR="006174B2" w:rsidRDefault="00000000">
      <w:pPr>
        <w:widowControl/>
        <w:shd w:val="clear" w:color="auto" w:fill="FDFDFE"/>
        <w:spacing w:line="360" w:lineRule="auto"/>
        <w:jc w:val="left"/>
        <w:rPr>
          <w:rFonts w:ascii="Times New Roman" w:eastAsia="宋体" w:hAnsi="Times New Roman"/>
          <w:spacing w:val="4"/>
          <w:kern w:val="0"/>
          <w:sz w:val="24"/>
          <w:szCs w:val="24"/>
          <w:shd w:val="clear" w:color="auto" w:fill="FFFFFF"/>
        </w:rPr>
      </w:pPr>
      <w:r>
        <w:rPr>
          <w:rFonts w:ascii="Times New Roman" w:eastAsia="宋体" w:hAnsi="Times New Roman" w:hint="eastAsia"/>
          <w:spacing w:val="4"/>
          <w:kern w:val="0"/>
          <w:sz w:val="24"/>
          <w:szCs w:val="24"/>
          <w:shd w:val="clear" w:color="auto" w:fill="FFFFFF"/>
        </w:rPr>
        <w:t>其中公司资产</w:t>
      </w:r>
      <w:r>
        <w:rPr>
          <w:rFonts w:ascii="Times New Roman" w:eastAsia="宋体" w:hAnsi="Times New Roman" w:hint="eastAsia"/>
          <w:spacing w:val="4"/>
          <w:kern w:val="0"/>
          <w:sz w:val="24"/>
          <w:szCs w:val="24"/>
          <w:shd w:val="clear" w:color="auto" w:fill="FFFFFF"/>
        </w:rPr>
        <w:t>CP</w:t>
      </w:r>
      <w:r>
        <w:rPr>
          <w:rFonts w:ascii="Times New Roman" w:eastAsia="宋体" w:hAnsi="Times New Roman" w:hint="eastAsia"/>
          <w:spacing w:val="4"/>
          <w:kern w:val="0"/>
          <w:sz w:val="24"/>
          <w:szCs w:val="24"/>
          <w:shd w:val="clear" w:color="auto" w:fill="FFFFFF"/>
        </w:rPr>
        <w:t>评估采用线性残差折旧法，我们记单台机器初始价值估计为</w:t>
      </w:r>
      <w:r>
        <w:rPr>
          <w:rFonts w:ascii="Times New Roman" w:eastAsia="宋体" w:hAnsi="Times New Roman" w:hint="eastAsia"/>
          <w:spacing w:val="4"/>
          <w:kern w:val="0"/>
          <w:sz w:val="24"/>
          <w:szCs w:val="24"/>
          <w:shd w:val="clear" w:color="auto" w:fill="FFFFFF"/>
        </w:rPr>
        <w:t>c=2</w:t>
      </w:r>
      <w:r>
        <w:rPr>
          <w:rFonts w:ascii="Times New Roman" w:eastAsia="宋体" w:hAnsi="Times New Roman" w:hint="eastAsia"/>
          <w:spacing w:val="4"/>
          <w:kern w:val="0"/>
          <w:sz w:val="24"/>
          <w:szCs w:val="24"/>
          <w:shd w:val="clear" w:color="auto" w:fill="FFFFFF"/>
        </w:rPr>
        <w:t>万元，残差</w:t>
      </w:r>
      <m:oMath>
        <m:r>
          <w:rPr>
            <w:rFonts w:ascii="Cambria Math" w:eastAsia="宋体" w:hAnsi="Cambria Math"/>
            <w:spacing w:val="4"/>
            <w:kern w:val="0"/>
            <w:sz w:val="24"/>
            <w:szCs w:val="24"/>
            <w:shd w:val="clear" w:color="auto" w:fill="FFFFFF"/>
          </w:rPr>
          <m:t>δ</m:t>
        </m:r>
      </m:oMath>
      <w:r>
        <w:rPr>
          <w:rFonts w:ascii="Times New Roman" w:eastAsia="宋体" w:hAnsi="Times New Roman" w:hint="eastAsia"/>
          <w:spacing w:val="4"/>
          <w:kern w:val="0"/>
          <w:sz w:val="24"/>
          <w:szCs w:val="24"/>
          <w:shd w:val="clear" w:color="auto" w:fill="FFFFFF"/>
        </w:rPr>
        <w:t>=1</w:t>
      </w:r>
      <w:r>
        <w:rPr>
          <w:rFonts w:ascii="Times New Roman" w:eastAsia="宋体" w:hAnsi="Times New Roman" w:hint="eastAsia"/>
          <w:spacing w:val="4"/>
          <w:kern w:val="0"/>
          <w:sz w:val="24"/>
          <w:szCs w:val="24"/>
          <w:shd w:val="clear" w:color="auto" w:fill="FFFFFF"/>
        </w:rPr>
        <w:t>万元，第</w:t>
      </w:r>
      <w:r>
        <w:rPr>
          <w:rFonts w:ascii="Times New Roman" w:eastAsia="宋体" w:hAnsi="Times New Roman" w:hint="eastAsia"/>
          <w:spacing w:val="4"/>
          <w:kern w:val="0"/>
          <w:sz w:val="24"/>
          <w:szCs w:val="24"/>
          <w:shd w:val="clear" w:color="auto" w:fill="FFFFFF"/>
        </w:rPr>
        <w:t>j</w:t>
      </w:r>
      <w:r>
        <w:rPr>
          <w:rFonts w:ascii="Times New Roman" w:eastAsia="宋体" w:hAnsi="Times New Roman" w:hint="eastAsia"/>
          <w:spacing w:val="4"/>
          <w:kern w:val="0"/>
          <w:sz w:val="24"/>
          <w:szCs w:val="24"/>
          <w:shd w:val="clear" w:color="auto" w:fill="FFFFFF"/>
        </w:rPr>
        <w:t>年生产的机器数量为</w:t>
      </w:r>
      <m:oMath>
        <m:sSub>
          <m:sSubPr>
            <m:ctrlPr>
              <w:rPr>
                <w:rFonts w:ascii="Cambria Math" w:eastAsia="宋体" w:hAnsi="Cambria Math"/>
                <w:i/>
                <w:spacing w:val="4"/>
                <w:kern w:val="0"/>
                <w:sz w:val="24"/>
                <w:szCs w:val="24"/>
                <w:shd w:val="clear" w:color="auto" w:fill="FFFFFF"/>
              </w:rPr>
            </m:ctrlPr>
          </m:sSubPr>
          <m:e>
            <m:r>
              <w:rPr>
                <w:rFonts w:ascii="Cambria Math" w:eastAsia="宋体" w:hAnsi="Cambria Math"/>
                <w:spacing w:val="4"/>
                <w:kern w:val="0"/>
                <w:sz w:val="24"/>
                <w:szCs w:val="24"/>
                <w:shd w:val="clear" w:color="auto" w:fill="FFFFFF"/>
              </w:rPr>
              <m:t>Num</m:t>
            </m:r>
          </m:e>
          <m:sub>
            <m:r>
              <w:rPr>
                <w:rFonts w:ascii="Cambria Math" w:eastAsia="宋体" w:hAnsi="Cambria Math"/>
                <w:spacing w:val="4"/>
                <w:kern w:val="0"/>
                <w:sz w:val="24"/>
                <w:szCs w:val="24"/>
                <w:shd w:val="clear" w:color="auto" w:fill="FFFFFF"/>
              </w:rPr>
              <m:t>j</m:t>
            </m:r>
          </m:sub>
        </m:sSub>
      </m:oMath>
      <w:r>
        <w:rPr>
          <w:rFonts w:ascii="Times New Roman" w:eastAsia="宋体" w:hAnsi="Times New Roman" w:hint="eastAsia"/>
          <w:spacing w:val="4"/>
          <w:kern w:val="0"/>
          <w:sz w:val="24"/>
          <w:szCs w:val="24"/>
          <w:shd w:val="clear" w:color="auto" w:fill="FFFFFF"/>
        </w:rPr>
        <w:t>，公司固有资产评估为</w:t>
      </w:r>
      <m:oMath>
        <m:sSub>
          <m:sSubPr>
            <m:ctrlPr>
              <w:rPr>
                <w:rFonts w:ascii="Cambria Math" w:eastAsia="宋体" w:hAnsi="Cambria Math"/>
                <w:i/>
                <w:spacing w:val="4"/>
                <w:kern w:val="0"/>
                <w:sz w:val="24"/>
                <w:szCs w:val="24"/>
                <w:shd w:val="clear" w:color="auto" w:fill="FFFFFF"/>
              </w:rPr>
            </m:ctrlPr>
          </m:sSubPr>
          <m:e>
            <m:r>
              <w:rPr>
                <w:rFonts w:ascii="Cambria Math" w:eastAsia="宋体" w:hAnsi="Cambria Math" w:hint="eastAsia"/>
                <w:spacing w:val="4"/>
                <w:kern w:val="0"/>
                <w:sz w:val="24"/>
                <w:szCs w:val="24"/>
                <w:shd w:val="clear" w:color="auto" w:fill="FFFFFF"/>
              </w:rPr>
              <m:t>CP</m:t>
            </m:r>
          </m:e>
          <m:sub>
            <m:r>
              <w:rPr>
                <w:rFonts w:ascii="Cambria Math" w:eastAsia="宋体" w:hAnsi="Cambria Math"/>
                <w:spacing w:val="4"/>
                <w:kern w:val="0"/>
                <w:sz w:val="24"/>
                <w:szCs w:val="24"/>
                <w:shd w:val="clear" w:color="auto" w:fill="FFFFFF"/>
              </w:rPr>
              <m:t>0</m:t>
            </m:r>
          </m:sub>
        </m:sSub>
      </m:oMath>
      <w:r>
        <w:rPr>
          <w:rFonts w:ascii="Times New Roman" w:eastAsia="宋体" w:hAnsi="Times New Roman" w:hint="eastAsia"/>
          <w:spacing w:val="4"/>
          <w:kern w:val="0"/>
          <w:sz w:val="24"/>
          <w:szCs w:val="24"/>
          <w:shd w:val="clear" w:color="auto" w:fill="FFFFFF"/>
        </w:rPr>
        <w:t>，计算得到公司第</w:t>
      </w:r>
      <w:proofErr w:type="spellStart"/>
      <w:r>
        <w:rPr>
          <w:rFonts w:ascii="Times New Roman" w:eastAsia="宋体" w:hAnsi="Times New Roman" w:hint="eastAsia"/>
          <w:spacing w:val="4"/>
          <w:kern w:val="0"/>
          <w:sz w:val="24"/>
          <w:szCs w:val="24"/>
          <w:shd w:val="clear" w:color="auto" w:fill="FFFFFF"/>
        </w:rPr>
        <w:t>i</w:t>
      </w:r>
      <w:proofErr w:type="spellEnd"/>
      <w:proofErr w:type="gramStart"/>
      <w:r>
        <w:rPr>
          <w:rFonts w:ascii="Times New Roman" w:eastAsia="宋体" w:hAnsi="Times New Roman" w:hint="eastAsia"/>
          <w:spacing w:val="4"/>
          <w:kern w:val="0"/>
          <w:sz w:val="24"/>
          <w:szCs w:val="24"/>
          <w:shd w:val="clear" w:color="auto" w:fill="FFFFFF"/>
        </w:rPr>
        <w:t>年资产</w:t>
      </w:r>
      <w:proofErr w:type="gramEnd"/>
      <w:r>
        <w:rPr>
          <w:rFonts w:ascii="Times New Roman" w:eastAsia="宋体" w:hAnsi="Times New Roman" w:hint="eastAsia"/>
          <w:spacing w:val="4"/>
          <w:kern w:val="0"/>
          <w:sz w:val="24"/>
          <w:szCs w:val="24"/>
          <w:shd w:val="clear" w:color="auto" w:fill="FFFFFF"/>
        </w:rPr>
        <w:t>估计为</w:t>
      </w:r>
    </w:p>
    <w:p w14:paraId="6705842D" w14:textId="77777777" w:rsidR="006174B2" w:rsidRDefault="00000000">
      <w:pPr>
        <w:widowControl/>
        <w:shd w:val="clear" w:color="auto" w:fill="FDFDFE"/>
        <w:spacing w:line="360" w:lineRule="auto"/>
        <w:jc w:val="left"/>
        <w:rPr>
          <w:rFonts w:ascii="Times New Roman" w:eastAsia="宋体" w:hAnsi="Times New Roman"/>
          <w:spacing w:val="4"/>
          <w:kern w:val="0"/>
          <w:sz w:val="24"/>
          <w:szCs w:val="24"/>
          <w:shd w:val="clear" w:color="auto" w:fill="FFFFFF"/>
        </w:rPr>
      </w:pPr>
      <m:oMathPara>
        <m:oMath>
          <m:r>
            <w:rPr>
              <w:rFonts w:ascii="Cambria Math" w:eastAsia="宋体" w:hAnsi="Cambria Math" w:hint="eastAsia"/>
              <w:spacing w:val="4"/>
              <w:kern w:val="0"/>
              <w:sz w:val="24"/>
              <w:szCs w:val="24"/>
              <w:shd w:val="clear" w:color="auto" w:fill="FFFFFF"/>
            </w:rPr>
            <m:t>CP</m:t>
          </m:r>
          <m:r>
            <w:rPr>
              <w:rFonts w:ascii="Cambria Math" w:eastAsia="宋体" w:hAnsi="Cambria Math"/>
              <w:spacing w:val="4"/>
              <w:kern w:val="0"/>
              <w:sz w:val="24"/>
              <w:szCs w:val="24"/>
              <w:shd w:val="clear" w:color="auto" w:fill="FFFFFF"/>
            </w:rPr>
            <m:t>=</m:t>
          </m:r>
          <m:sSub>
            <m:sSubPr>
              <m:ctrlPr>
                <w:rPr>
                  <w:rFonts w:ascii="Cambria Math" w:eastAsia="宋体" w:hAnsi="Cambria Math"/>
                  <w:i/>
                  <w:spacing w:val="4"/>
                  <w:kern w:val="0"/>
                  <w:sz w:val="24"/>
                  <w:szCs w:val="24"/>
                  <w:shd w:val="clear" w:color="auto" w:fill="FFFFFF"/>
                </w:rPr>
              </m:ctrlPr>
            </m:sSubPr>
            <m:e>
              <m:r>
                <w:rPr>
                  <w:rFonts w:ascii="Cambria Math" w:eastAsia="宋体" w:hAnsi="Cambria Math" w:hint="eastAsia"/>
                  <w:spacing w:val="4"/>
                  <w:kern w:val="0"/>
                  <w:sz w:val="24"/>
                  <w:szCs w:val="24"/>
                  <w:shd w:val="clear" w:color="auto" w:fill="FFFFFF"/>
                </w:rPr>
                <m:t>CP</m:t>
              </m:r>
            </m:e>
            <m:sub>
              <m:r>
                <w:rPr>
                  <w:rFonts w:ascii="Cambria Math" w:eastAsia="宋体" w:hAnsi="Cambria Math"/>
                  <w:spacing w:val="4"/>
                  <w:kern w:val="0"/>
                  <w:sz w:val="24"/>
                  <w:szCs w:val="24"/>
                  <w:shd w:val="clear" w:color="auto" w:fill="FFFFFF"/>
                </w:rPr>
                <m:t>0</m:t>
              </m:r>
            </m:sub>
          </m:sSub>
          <m:r>
            <w:rPr>
              <w:rFonts w:ascii="Cambria Math" w:eastAsia="宋体" w:hAnsi="Cambria Math"/>
              <w:spacing w:val="4"/>
              <w:kern w:val="0"/>
              <w:sz w:val="24"/>
              <w:szCs w:val="24"/>
              <w:shd w:val="clear" w:color="auto" w:fill="FFFFFF"/>
            </w:rPr>
            <m:t>+</m:t>
          </m:r>
          <m:nary>
            <m:naryPr>
              <m:chr m:val="∑"/>
              <m:limLoc m:val="undOvr"/>
              <m:ctrlPr>
                <w:rPr>
                  <w:rFonts w:ascii="Cambria Math" w:eastAsia="宋体" w:hAnsi="Cambria Math"/>
                  <w:i/>
                  <w:spacing w:val="4"/>
                  <w:kern w:val="0"/>
                  <w:sz w:val="24"/>
                  <w:szCs w:val="24"/>
                  <w:shd w:val="clear" w:color="auto" w:fill="FFFFFF"/>
                </w:rPr>
              </m:ctrlPr>
            </m:naryPr>
            <m:sub>
              <m:r>
                <w:rPr>
                  <w:rFonts w:ascii="Cambria Math" w:eastAsia="宋体" w:hAnsi="Cambria Math"/>
                  <w:spacing w:val="4"/>
                  <w:kern w:val="0"/>
                  <w:sz w:val="24"/>
                  <w:szCs w:val="24"/>
                  <w:shd w:val="clear" w:color="auto" w:fill="FFFFFF"/>
                </w:rPr>
                <m:t>j=1</m:t>
              </m:r>
            </m:sub>
            <m:sup>
              <m:r>
                <w:rPr>
                  <w:rFonts w:ascii="Cambria Math" w:eastAsia="宋体" w:hAnsi="Cambria Math"/>
                  <w:spacing w:val="4"/>
                  <w:kern w:val="0"/>
                  <w:sz w:val="24"/>
                  <w:szCs w:val="24"/>
                  <w:shd w:val="clear" w:color="auto" w:fill="FFFFFF"/>
                </w:rPr>
                <m:t>i</m:t>
              </m:r>
            </m:sup>
            <m:e>
              <m:r>
                <w:rPr>
                  <w:rFonts w:ascii="Cambria Math" w:eastAsia="宋体" w:hAnsi="Cambria Math"/>
                  <w:spacing w:val="4"/>
                  <w:kern w:val="0"/>
                  <w:sz w:val="24"/>
                  <w:szCs w:val="24"/>
                  <w:shd w:val="clear" w:color="auto" w:fill="FFFFFF"/>
                </w:rPr>
                <m:t>(c-</m:t>
              </m:r>
              <m:f>
                <m:fPr>
                  <m:ctrlPr>
                    <w:rPr>
                      <w:rFonts w:ascii="Cambria Math" w:eastAsia="宋体" w:hAnsi="Cambria Math"/>
                      <w:i/>
                      <w:spacing w:val="4"/>
                      <w:kern w:val="0"/>
                      <w:sz w:val="24"/>
                      <w:szCs w:val="24"/>
                      <w:shd w:val="clear" w:color="auto" w:fill="FFFFFF"/>
                    </w:rPr>
                  </m:ctrlPr>
                </m:fPr>
                <m:num>
                  <m:r>
                    <w:rPr>
                      <w:rFonts w:ascii="Cambria Math" w:eastAsia="宋体" w:hAnsi="Cambria Math"/>
                      <w:spacing w:val="4"/>
                      <w:kern w:val="0"/>
                      <w:sz w:val="24"/>
                      <w:szCs w:val="24"/>
                      <w:shd w:val="clear" w:color="auto" w:fill="FFFFFF"/>
                    </w:rPr>
                    <m:t>c-δ</m:t>
                  </m:r>
                </m:num>
                <m:den>
                  <m:r>
                    <w:rPr>
                      <w:rFonts w:ascii="Cambria Math" w:eastAsia="宋体" w:hAnsi="Cambria Math"/>
                      <w:spacing w:val="4"/>
                      <w:kern w:val="0"/>
                      <w:sz w:val="24"/>
                      <w:szCs w:val="24"/>
                      <w:shd w:val="clear" w:color="auto" w:fill="FFFFFF"/>
                    </w:rPr>
                    <m:t>N</m:t>
                  </m:r>
                </m:den>
              </m:f>
              <m:r>
                <w:rPr>
                  <w:rFonts w:ascii="Cambria Math" w:eastAsia="宋体" w:hAnsi="Cambria Math"/>
                  <w:spacing w:val="4"/>
                  <w:kern w:val="0"/>
                  <w:sz w:val="24"/>
                  <w:szCs w:val="24"/>
                  <w:shd w:val="clear" w:color="auto" w:fill="FFFFFF"/>
                </w:rPr>
                <m:t>j)</m:t>
              </m:r>
              <m:sSub>
                <m:sSubPr>
                  <m:ctrlPr>
                    <w:rPr>
                      <w:rFonts w:ascii="Cambria Math" w:eastAsia="宋体" w:hAnsi="Cambria Math"/>
                      <w:i/>
                      <w:spacing w:val="4"/>
                      <w:kern w:val="0"/>
                      <w:sz w:val="24"/>
                      <w:szCs w:val="24"/>
                      <w:shd w:val="clear" w:color="auto" w:fill="FFFFFF"/>
                    </w:rPr>
                  </m:ctrlPr>
                </m:sSubPr>
                <m:e>
                  <m:r>
                    <w:rPr>
                      <w:rFonts w:ascii="Cambria Math" w:eastAsia="宋体" w:hAnsi="Cambria Math"/>
                      <w:spacing w:val="4"/>
                      <w:kern w:val="0"/>
                      <w:sz w:val="24"/>
                      <w:szCs w:val="24"/>
                      <w:shd w:val="clear" w:color="auto" w:fill="FFFFFF"/>
                    </w:rPr>
                    <m:t>Num</m:t>
                  </m:r>
                </m:e>
                <m:sub>
                  <m:r>
                    <w:rPr>
                      <w:rFonts w:ascii="Cambria Math" w:eastAsia="宋体" w:hAnsi="Cambria Math"/>
                      <w:spacing w:val="4"/>
                      <w:kern w:val="0"/>
                      <w:sz w:val="24"/>
                      <w:szCs w:val="24"/>
                      <w:shd w:val="clear" w:color="auto" w:fill="FFFFFF"/>
                    </w:rPr>
                    <m:t>j</m:t>
                  </m:r>
                </m:sub>
              </m:sSub>
            </m:e>
          </m:nary>
        </m:oMath>
      </m:oMathPara>
    </w:p>
    <w:p w14:paraId="59AC9494" w14:textId="77777777" w:rsidR="006174B2" w:rsidRDefault="00000000">
      <w:pPr>
        <w:widowControl/>
        <w:shd w:val="clear" w:color="auto" w:fill="FDFDFE"/>
        <w:spacing w:line="360" w:lineRule="auto"/>
        <w:jc w:val="left"/>
        <w:rPr>
          <w:rFonts w:ascii="Times New Roman" w:eastAsia="宋体" w:hAnsi="Times New Roman"/>
          <w:spacing w:val="4"/>
          <w:kern w:val="0"/>
          <w:sz w:val="24"/>
          <w:szCs w:val="24"/>
          <w:shd w:val="clear" w:color="auto" w:fill="FFFFFF"/>
        </w:rPr>
      </w:pPr>
      <w:r>
        <w:rPr>
          <w:rFonts w:ascii="Times New Roman" w:eastAsia="宋体" w:hAnsi="Times New Roman" w:hint="eastAsia"/>
          <w:spacing w:val="4"/>
          <w:kern w:val="0"/>
          <w:sz w:val="24"/>
          <w:szCs w:val="24"/>
          <w:shd w:val="clear" w:color="auto" w:fill="FFFFFF"/>
        </w:rPr>
        <w:t>带入数据，取</w:t>
      </w:r>
      <m:oMath>
        <m:sSub>
          <m:sSubPr>
            <m:ctrlPr>
              <w:rPr>
                <w:rFonts w:ascii="Cambria Math" w:eastAsia="宋体" w:hAnsi="Cambria Math"/>
                <w:i/>
                <w:spacing w:val="4"/>
                <w:kern w:val="0"/>
                <w:sz w:val="24"/>
                <w:szCs w:val="24"/>
                <w:shd w:val="clear" w:color="auto" w:fill="FFFFFF"/>
              </w:rPr>
            </m:ctrlPr>
          </m:sSubPr>
          <m:e>
            <m:r>
              <w:rPr>
                <w:rFonts w:ascii="Cambria Math" w:eastAsia="宋体" w:hAnsi="Cambria Math"/>
                <w:spacing w:val="4"/>
                <w:kern w:val="0"/>
                <w:sz w:val="24"/>
                <w:szCs w:val="24"/>
                <w:shd w:val="clear" w:color="auto" w:fill="FFFFFF"/>
              </w:rPr>
              <m:t>μ</m:t>
            </m:r>
          </m:e>
          <m:sub>
            <m:r>
              <w:rPr>
                <w:rFonts w:ascii="Cambria Math" w:eastAsia="宋体" w:hAnsi="Cambria Math"/>
                <w:spacing w:val="4"/>
                <w:kern w:val="0"/>
                <w:sz w:val="24"/>
                <w:szCs w:val="24"/>
                <w:shd w:val="clear" w:color="auto" w:fill="FFFFFF"/>
              </w:rPr>
              <m:t>1</m:t>
            </m:r>
          </m:sub>
        </m:sSub>
        <m:r>
          <w:rPr>
            <w:rFonts w:ascii="Cambria Math" w:eastAsia="宋体" w:hAnsi="Cambria Math"/>
            <w:spacing w:val="4"/>
            <w:kern w:val="0"/>
            <w:sz w:val="24"/>
            <w:szCs w:val="24"/>
            <w:shd w:val="clear" w:color="auto" w:fill="FFFFFF"/>
          </w:rPr>
          <m:t>=0.5</m:t>
        </m:r>
        <m:r>
          <w:rPr>
            <w:rFonts w:ascii="Cambria Math" w:eastAsia="宋体" w:hAnsi="Cambria Math" w:hint="eastAsia"/>
            <w:spacing w:val="4"/>
            <w:kern w:val="0"/>
            <w:sz w:val="24"/>
            <w:szCs w:val="24"/>
            <w:shd w:val="clear" w:color="auto" w:fill="FFFFFF"/>
          </w:rPr>
          <m:t>，</m:t>
        </m:r>
      </m:oMath>
      <w:r>
        <w:rPr>
          <w:rFonts w:ascii="Times New Roman" w:eastAsia="宋体" w:hAnsi="Times New Roman" w:hint="eastAsia"/>
          <w:spacing w:val="4"/>
          <w:kern w:val="0"/>
          <w:sz w:val="24"/>
          <w:szCs w:val="24"/>
          <w:shd w:val="clear" w:color="auto" w:fill="FFFFFF"/>
        </w:rPr>
        <w:t>第一年</w:t>
      </w:r>
      <m:oMath>
        <m:sSub>
          <m:sSubPr>
            <m:ctrlPr>
              <w:rPr>
                <w:rFonts w:ascii="Cambria Math" w:eastAsia="宋体" w:hAnsi="Cambria Math"/>
                <w:i/>
                <w:spacing w:val="4"/>
                <w:kern w:val="0"/>
                <w:sz w:val="24"/>
                <w:szCs w:val="24"/>
                <w:shd w:val="clear" w:color="auto" w:fill="FFFFFF"/>
              </w:rPr>
            </m:ctrlPr>
          </m:sSubPr>
          <m:e>
            <m:r>
              <w:rPr>
                <w:rFonts w:ascii="Cambria Math" w:eastAsia="宋体" w:hAnsi="Cambria Math" w:hint="eastAsia"/>
                <w:spacing w:val="4"/>
                <w:kern w:val="0"/>
                <w:sz w:val="24"/>
                <w:szCs w:val="24"/>
                <w:shd w:val="clear" w:color="auto" w:fill="FFFFFF"/>
              </w:rPr>
              <m:t>CP</m:t>
            </m:r>
          </m:e>
          <m:sub>
            <m:r>
              <w:rPr>
                <w:rFonts w:ascii="Cambria Math" w:eastAsia="宋体" w:hAnsi="Cambria Math"/>
                <w:spacing w:val="4"/>
                <w:kern w:val="0"/>
                <w:sz w:val="24"/>
                <w:szCs w:val="24"/>
                <w:shd w:val="clear" w:color="auto" w:fill="FFFFFF"/>
              </w:rPr>
              <m:t>0</m:t>
            </m:r>
          </m:sub>
        </m:sSub>
        <m:r>
          <w:rPr>
            <w:rFonts w:ascii="Cambria Math" w:eastAsia="宋体" w:hAnsi="Cambria Math"/>
            <w:spacing w:val="4"/>
            <w:kern w:val="0"/>
            <w:sz w:val="24"/>
            <w:szCs w:val="24"/>
            <w:shd w:val="clear" w:color="auto" w:fill="FFFFFF"/>
          </w:rPr>
          <m:t>=600</m:t>
        </m:r>
      </m:oMath>
      <w:r>
        <w:rPr>
          <w:rFonts w:ascii="Times New Roman" w:eastAsia="宋体" w:hAnsi="Times New Roman" w:hint="eastAsia"/>
          <w:spacing w:val="4"/>
          <w:kern w:val="0"/>
          <w:sz w:val="24"/>
          <w:szCs w:val="24"/>
          <w:shd w:val="clear" w:color="auto" w:fill="FFFFFF"/>
        </w:rPr>
        <w:t>万元，预测第</w:t>
      </w:r>
      <w:r>
        <w:rPr>
          <w:rFonts w:ascii="Times New Roman" w:eastAsia="宋体" w:hAnsi="Times New Roman" w:hint="eastAsia"/>
          <w:spacing w:val="4"/>
          <w:kern w:val="0"/>
          <w:sz w:val="24"/>
          <w:szCs w:val="24"/>
          <w:shd w:val="clear" w:color="auto" w:fill="FFFFFF"/>
        </w:rPr>
        <w:t>1</w:t>
      </w:r>
      <w:r>
        <w:rPr>
          <w:rFonts w:ascii="Times New Roman" w:eastAsia="宋体" w:hAnsi="Times New Roman" w:hint="eastAsia"/>
          <w:spacing w:val="4"/>
          <w:kern w:val="0"/>
          <w:sz w:val="24"/>
          <w:szCs w:val="24"/>
          <w:shd w:val="clear" w:color="auto" w:fill="FFFFFF"/>
        </w:rPr>
        <w:t>年现金流</w:t>
      </w:r>
    </w:p>
    <w:p w14:paraId="4CCCD0A0" w14:textId="77777777" w:rsidR="006174B2" w:rsidRDefault="006174B2">
      <w:pPr>
        <w:widowControl/>
        <w:shd w:val="clear" w:color="auto" w:fill="FDFDFE"/>
        <w:spacing w:line="360" w:lineRule="auto"/>
        <w:jc w:val="left"/>
        <w:rPr>
          <w:rFonts w:ascii="Times New Roman" w:eastAsia="宋体" w:hAnsi="Times New Roman"/>
          <w:spacing w:val="4"/>
          <w:kern w:val="0"/>
          <w:sz w:val="24"/>
          <w:szCs w:val="24"/>
          <w:shd w:val="clear" w:color="auto" w:fill="FFFFFF"/>
        </w:rPr>
      </w:pPr>
    </w:p>
    <w:p w14:paraId="686C6250" w14:textId="77777777" w:rsidR="006174B2" w:rsidRDefault="00000000">
      <w:pPr>
        <w:widowControl/>
        <w:shd w:val="clear" w:color="auto" w:fill="FDFDFE"/>
        <w:spacing w:line="360" w:lineRule="auto"/>
        <w:jc w:val="left"/>
        <w:rPr>
          <w:rFonts w:ascii="Times New Roman" w:eastAsia="宋体" w:hAnsi="Times New Roman"/>
          <w:i/>
          <w:spacing w:val="4"/>
          <w:kern w:val="0"/>
          <w:sz w:val="24"/>
          <w:szCs w:val="24"/>
          <w:shd w:val="clear" w:color="auto" w:fill="FFFFFF"/>
        </w:rPr>
      </w:pPr>
      <w:r>
        <w:rPr>
          <w:rFonts w:ascii="Times New Roman" w:eastAsia="宋体" w:hAnsi="Times New Roman" w:hint="eastAsia"/>
          <w:spacing w:val="4"/>
          <w:kern w:val="0"/>
          <w:sz w:val="24"/>
          <w:szCs w:val="24"/>
          <w:shd w:val="clear" w:color="auto" w:fill="FFFFFF"/>
        </w:rPr>
        <w:t xml:space="preserve">    </w:t>
      </w:r>
      <m:oMath>
        <m:sSub>
          <m:sSubPr>
            <m:ctrlPr>
              <w:rPr>
                <w:rFonts w:ascii="Cambria Math" w:eastAsia="宋体" w:hAnsi="Cambria Math"/>
                <w:i/>
                <w:spacing w:val="4"/>
                <w:kern w:val="0"/>
                <w:sz w:val="24"/>
                <w:szCs w:val="24"/>
                <w:shd w:val="clear" w:color="auto" w:fill="FFFFFF"/>
              </w:rPr>
            </m:ctrlPr>
          </m:sSubPr>
          <m:e>
            <m:r>
              <w:rPr>
                <w:rFonts w:ascii="Cambria Math" w:eastAsia="宋体" w:hAnsi="Cambria Math"/>
                <w:spacing w:val="4"/>
                <w:kern w:val="0"/>
                <w:sz w:val="24"/>
                <w:szCs w:val="24"/>
                <w:shd w:val="clear" w:color="auto" w:fill="FFFFFF"/>
              </w:rPr>
              <m:t xml:space="preserve">                   C</m:t>
            </m:r>
          </m:e>
          <m:sub>
            <m:r>
              <w:rPr>
                <w:rFonts w:ascii="Cambria Math" w:eastAsia="宋体" w:hAnsi="Cambria Math"/>
                <w:spacing w:val="4"/>
                <w:kern w:val="0"/>
                <w:sz w:val="24"/>
                <w:szCs w:val="24"/>
                <w:shd w:val="clear" w:color="auto" w:fill="FFFFFF"/>
              </w:rPr>
              <m:t>1</m:t>
            </m:r>
          </m:sub>
        </m:sSub>
        <m:r>
          <w:rPr>
            <w:rFonts w:ascii="Cambria Math" w:eastAsia="宋体" w:hAnsi="Cambria Math"/>
            <w:spacing w:val="4"/>
            <w:kern w:val="0"/>
            <w:sz w:val="24"/>
            <w:szCs w:val="24"/>
            <w:shd w:val="clear" w:color="auto" w:fill="FFFFFF"/>
          </w:rPr>
          <m:t>=450+</m:t>
        </m:r>
        <m:sSub>
          <m:sSubPr>
            <m:ctrlPr>
              <w:rPr>
                <w:rFonts w:ascii="Cambria Math" w:eastAsia="宋体" w:hAnsi="Cambria Math"/>
                <w:i/>
                <w:spacing w:val="4"/>
                <w:kern w:val="0"/>
                <w:sz w:val="24"/>
                <w:szCs w:val="24"/>
                <w:shd w:val="clear" w:color="auto" w:fill="FFFFFF"/>
              </w:rPr>
            </m:ctrlPr>
          </m:sSubPr>
          <m:e>
            <m:r>
              <w:rPr>
                <w:rFonts w:ascii="Cambria Math" w:eastAsia="宋体" w:hAnsi="Cambria Math"/>
                <w:spacing w:val="4"/>
                <w:kern w:val="0"/>
                <w:sz w:val="24"/>
                <w:szCs w:val="24"/>
                <w:shd w:val="clear" w:color="auto" w:fill="FFFFFF"/>
              </w:rPr>
              <m:t>W</m:t>
            </m:r>
          </m:e>
          <m:sub>
            <m:r>
              <w:rPr>
                <w:rFonts w:ascii="Cambria Math" w:eastAsia="宋体" w:hAnsi="Cambria Math" w:hint="eastAsia"/>
                <w:spacing w:val="4"/>
                <w:kern w:val="0"/>
                <w:sz w:val="24"/>
                <w:szCs w:val="24"/>
                <w:shd w:val="clear" w:color="auto" w:fill="FFFFFF"/>
              </w:rPr>
              <m:t>i</m:t>
            </m:r>
          </m:sub>
        </m:sSub>
        <m:r>
          <w:rPr>
            <w:rFonts w:ascii="Cambria Math" w:eastAsia="宋体" w:hAnsi="Cambria Math"/>
            <w:spacing w:val="4"/>
            <w:kern w:val="0"/>
            <w:sz w:val="24"/>
            <w:szCs w:val="24"/>
            <w:shd w:val="clear" w:color="auto" w:fill="FFFFFF"/>
          </w:rPr>
          <m:t>-400-200*</m:t>
        </m:r>
        <m:d>
          <m:dPr>
            <m:begChr m:val="（"/>
            <m:endChr m:val="）"/>
            <m:ctrlPr>
              <w:rPr>
                <w:rFonts w:ascii="Cambria Math" w:eastAsia="宋体" w:hAnsi="Cambria Math"/>
                <w:i/>
                <w:spacing w:val="4"/>
                <w:kern w:val="0"/>
                <w:sz w:val="24"/>
                <w:szCs w:val="24"/>
                <w:shd w:val="clear" w:color="auto" w:fill="FFFFFF"/>
              </w:rPr>
            </m:ctrlPr>
          </m:dPr>
          <m:e>
            <m:sSub>
              <m:sSubPr>
                <m:ctrlPr>
                  <w:rPr>
                    <w:rFonts w:ascii="Cambria Math" w:eastAsia="宋体" w:hAnsi="Cambria Math"/>
                    <w:i/>
                    <w:spacing w:val="4"/>
                    <w:kern w:val="0"/>
                    <w:sz w:val="24"/>
                    <w:szCs w:val="24"/>
                    <w:shd w:val="clear" w:color="auto" w:fill="FFFFFF"/>
                  </w:rPr>
                </m:ctrlPr>
              </m:sSubPr>
              <m:e>
                <m:r>
                  <w:rPr>
                    <w:rFonts w:ascii="Cambria Math" w:eastAsia="宋体" w:hAnsi="Cambria Math"/>
                    <w:spacing w:val="4"/>
                    <w:kern w:val="0"/>
                    <w:sz w:val="24"/>
                    <w:szCs w:val="24"/>
                    <w:shd w:val="clear" w:color="auto" w:fill="FFFFFF"/>
                  </w:rPr>
                  <m:t>P</m:t>
                </m:r>
              </m:e>
              <m:sub>
                <m:r>
                  <w:rPr>
                    <w:rFonts w:ascii="Cambria Math" w:eastAsia="宋体" w:hAnsi="Cambria Math"/>
                    <w:spacing w:val="4"/>
                    <w:kern w:val="0"/>
                    <w:sz w:val="24"/>
                    <w:szCs w:val="24"/>
                    <w:shd w:val="clear" w:color="auto" w:fill="FFFFFF"/>
                  </w:rPr>
                  <m:t>0</m:t>
                </m:r>
              </m:sub>
            </m:sSub>
            <m:r>
              <w:rPr>
                <w:rFonts w:ascii="Cambria Math" w:eastAsia="宋体" w:hAnsi="Cambria Math"/>
                <w:spacing w:val="4"/>
                <w:kern w:val="0"/>
                <w:sz w:val="24"/>
                <w:szCs w:val="24"/>
                <w:shd w:val="clear" w:color="auto" w:fill="FFFFFF"/>
              </w:rPr>
              <m:t>+θ</m:t>
            </m:r>
            <m:func>
              <m:funcPr>
                <m:ctrlPr>
                  <w:rPr>
                    <w:rFonts w:ascii="Cambria Math" w:eastAsia="宋体" w:hAnsi="Cambria Math"/>
                    <w:i/>
                    <w:spacing w:val="4"/>
                    <w:kern w:val="0"/>
                    <w:sz w:val="24"/>
                    <w:szCs w:val="24"/>
                    <w:shd w:val="clear" w:color="auto" w:fill="FFFFFF"/>
                  </w:rPr>
                </m:ctrlPr>
              </m:funcPr>
              <m:fName>
                <m:r>
                  <m:rPr>
                    <m:sty m:val="p"/>
                  </m:rPr>
                  <w:rPr>
                    <w:rFonts w:ascii="Cambria Math" w:eastAsia="宋体" w:hAnsi="Cambria Math"/>
                    <w:spacing w:val="4"/>
                    <w:kern w:val="0"/>
                    <w:sz w:val="24"/>
                    <w:szCs w:val="24"/>
                    <w:shd w:val="clear" w:color="auto" w:fill="FFFFFF"/>
                  </w:rPr>
                  <m:t>ln</m:t>
                </m:r>
              </m:fName>
              <m:e>
                <m:d>
                  <m:dPr>
                    <m:ctrlPr>
                      <w:rPr>
                        <w:rFonts w:ascii="Cambria Math" w:eastAsia="宋体" w:hAnsi="Cambria Math"/>
                        <w:i/>
                        <w:spacing w:val="4"/>
                        <w:kern w:val="0"/>
                        <w:sz w:val="24"/>
                        <w:szCs w:val="24"/>
                        <w:shd w:val="clear" w:color="auto" w:fill="FFFFFF"/>
                      </w:rPr>
                    </m:ctrlPr>
                  </m:dPr>
                  <m:e>
                    <m:r>
                      <w:rPr>
                        <w:rFonts w:ascii="Cambria Math" w:eastAsia="宋体" w:hAnsi="Cambria Math"/>
                        <w:spacing w:val="4"/>
                        <w:kern w:val="0"/>
                        <w:sz w:val="24"/>
                        <w:szCs w:val="24"/>
                        <w:shd w:val="clear" w:color="auto" w:fill="FFFFFF"/>
                      </w:rPr>
                      <m:t>1+</m:t>
                    </m:r>
                    <m:f>
                      <m:fPr>
                        <m:ctrlPr>
                          <w:rPr>
                            <w:rFonts w:ascii="Cambria Math" w:eastAsia="宋体" w:hAnsi="Cambria Math"/>
                            <w:i/>
                            <w:spacing w:val="4"/>
                            <w:kern w:val="0"/>
                            <w:sz w:val="24"/>
                            <w:szCs w:val="24"/>
                            <w:shd w:val="clear" w:color="auto" w:fill="FFFFFF"/>
                          </w:rPr>
                        </m:ctrlPr>
                      </m:fPr>
                      <m:num>
                        <m:r>
                          <w:rPr>
                            <w:rFonts w:ascii="Cambria Math" w:eastAsia="宋体" w:hAnsi="Cambria Math"/>
                            <w:spacing w:val="4"/>
                            <w:kern w:val="0"/>
                            <w:sz w:val="24"/>
                            <w:szCs w:val="24"/>
                            <w:shd w:val="clear" w:color="auto" w:fill="FFFFFF"/>
                          </w:rPr>
                          <m:t>N-1</m:t>
                        </m:r>
                      </m:num>
                      <m:den>
                        <m:sSub>
                          <m:sSubPr>
                            <m:ctrlPr>
                              <w:rPr>
                                <w:rFonts w:ascii="Cambria Math" w:eastAsia="宋体" w:hAnsi="Cambria Math"/>
                                <w:i/>
                                <w:spacing w:val="4"/>
                                <w:kern w:val="0"/>
                                <w:sz w:val="24"/>
                                <w:szCs w:val="24"/>
                                <w:shd w:val="clear" w:color="auto" w:fill="FFFFFF"/>
                              </w:rPr>
                            </m:ctrlPr>
                          </m:sSubPr>
                          <m:e>
                            <m:r>
                              <w:rPr>
                                <w:rFonts w:ascii="Cambria Math" w:eastAsia="宋体" w:hAnsi="Cambria Math"/>
                                <w:spacing w:val="4"/>
                                <w:kern w:val="0"/>
                                <w:sz w:val="24"/>
                                <w:szCs w:val="24"/>
                                <w:shd w:val="clear" w:color="auto" w:fill="FFFFFF"/>
                              </w:rPr>
                              <m:t>N</m:t>
                            </m:r>
                          </m:e>
                          <m:sub>
                            <m:r>
                              <w:rPr>
                                <w:rFonts w:ascii="Cambria Math" w:eastAsia="宋体" w:hAnsi="Cambria Math"/>
                                <w:spacing w:val="4"/>
                                <w:kern w:val="0"/>
                                <w:sz w:val="24"/>
                                <w:szCs w:val="24"/>
                                <w:shd w:val="clear" w:color="auto" w:fill="FFFFFF"/>
                              </w:rPr>
                              <m:t>0</m:t>
                            </m:r>
                          </m:sub>
                        </m:sSub>
                      </m:den>
                    </m:f>
                  </m:e>
                </m:d>
              </m:e>
            </m:func>
            <m:r>
              <w:rPr>
                <w:rFonts w:ascii="Cambria Math" w:eastAsia="宋体" w:hAnsi="Cambria Math"/>
                <w:spacing w:val="4"/>
                <w:kern w:val="0"/>
                <w:sz w:val="24"/>
                <w:szCs w:val="24"/>
                <w:shd w:val="clear" w:color="auto" w:fill="FFFFFF"/>
              </w:rPr>
              <m:t>±δ</m:t>
            </m:r>
          </m:e>
        </m:d>
        <m:r>
          <w:rPr>
            <w:rFonts w:ascii="Cambria Math" w:eastAsia="宋体" w:hAnsi="Cambria Math"/>
            <w:spacing w:val="4"/>
            <w:kern w:val="0"/>
            <w:sz w:val="24"/>
            <w:szCs w:val="24"/>
            <w:shd w:val="clear" w:color="auto" w:fill="FFFFFF"/>
          </w:rPr>
          <m:t>≈492.78</m:t>
        </m:r>
      </m:oMath>
    </w:p>
    <w:p w14:paraId="21048F40" w14:textId="77777777" w:rsidR="006174B2" w:rsidRDefault="00000000">
      <w:pPr>
        <w:widowControl/>
        <w:shd w:val="clear" w:color="auto" w:fill="FDFDFE"/>
        <w:spacing w:line="360" w:lineRule="auto"/>
        <w:ind w:firstLineChars="200" w:firstLine="496"/>
        <w:jc w:val="left"/>
        <w:rPr>
          <w:rFonts w:ascii="Times New Roman" w:eastAsia="宋体" w:hAnsi="Times New Roman"/>
          <w:spacing w:val="4"/>
          <w:kern w:val="0"/>
          <w:sz w:val="24"/>
          <w:szCs w:val="24"/>
          <w:shd w:val="clear" w:color="auto" w:fill="FFFFFF"/>
        </w:rPr>
      </w:pPr>
      <w:r>
        <w:rPr>
          <w:rFonts w:ascii="Times New Roman" w:eastAsia="宋体" w:hAnsi="Times New Roman" w:hint="eastAsia"/>
          <w:spacing w:val="4"/>
          <w:kern w:val="0"/>
          <w:sz w:val="24"/>
          <w:szCs w:val="24"/>
          <w:shd w:val="clear" w:color="auto" w:fill="FFFFFF"/>
        </w:rPr>
        <w:t>同时，我们也应该注意到</w:t>
      </w:r>
      <w:r>
        <w:rPr>
          <w:rFonts w:ascii="Times New Roman" w:eastAsia="宋体" w:hAnsi="Times New Roman"/>
          <w:spacing w:val="4"/>
          <w:kern w:val="0"/>
          <w:sz w:val="24"/>
          <w:szCs w:val="24"/>
          <w:shd w:val="clear" w:color="auto" w:fill="FFFFFF"/>
        </w:rPr>
        <w:t>，实际情况可能会因市场变化、筹资能力、成本控制等多种因素而有所不同，因此，我们将持续关注市场动态，灵活调整经营策略，以确保公司稳健发展。</w:t>
      </w:r>
    </w:p>
    <w:p w14:paraId="46F84B36" w14:textId="77777777" w:rsidR="006174B2" w:rsidRDefault="00000000">
      <w:pPr>
        <w:widowControl/>
        <w:shd w:val="clear" w:color="auto" w:fill="FDFDFE"/>
        <w:spacing w:beforeLines="50" w:before="156" w:afterLines="50" w:after="156"/>
        <w:jc w:val="left"/>
        <w:outlineLvl w:val="1"/>
        <w:rPr>
          <w:rFonts w:ascii="黑体" w:eastAsia="黑体" w:hAnsi="黑体" w:cs="黑体"/>
          <w:kern w:val="0"/>
          <w:sz w:val="28"/>
          <w:szCs w:val="28"/>
        </w:rPr>
      </w:pPr>
      <w:bookmarkStart w:id="32" w:name="_Toc18271"/>
      <w:r>
        <w:rPr>
          <w:rFonts w:ascii="黑体" w:eastAsia="黑体" w:hAnsi="黑体" w:cs="黑体" w:hint="eastAsia"/>
          <w:kern w:val="0"/>
          <w:sz w:val="28"/>
          <w:szCs w:val="28"/>
        </w:rPr>
        <w:t>6.2 投资回报</w:t>
      </w:r>
      <w:bookmarkEnd w:id="32"/>
    </w:p>
    <w:p w14:paraId="3E6A42F7" w14:textId="77777777" w:rsidR="006174B2" w:rsidRDefault="00000000">
      <w:pPr>
        <w:widowControl/>
        <w:spacing w:line="360" w:lineRule="auto"/>
        <w:ind w:firstLineChars="200" w:firstLine="480"/>
        <w:rPr>
          <w:rFonts w:ascii="Times New Roman" w:eastAsia="宋体" w:hAnsi="Times New Roman" w:cs="Segoe UI"/>
          <w:kern w:val="0"/>
          <w:sz w:val="24"/>
          <w:szCs w:val="24"/>
        </w:rPr>
      </w:pPr>
      <w:r>
        <w:rPr>
          <w:rFonts w:ascii="Times New Roman" w:eastAsia="宋体" w:hAnsi="Times New Roman" w:cs="Segoe UI"/>
          <w:kern w:val="0"/>
          <w:sz w:val="24"/>
          <w:szCs w:val="24"/>
        </w:rPr>
        <w:lastRenderedPageBreak/>
        <w:t>对于潜在投资者而言，我们的项目展现了较高的投资潜力和长期回报前景。随着电动汽车市场的蓬勃发展以及政策扶持的持续加强，充电服务市场正迎来巨大的增长空间。同时，我们凭借创新的产品设计和卓越的服务能力，将为公司赢得市场竞争的先机。</w:t>
      </w:r>
    </w:p>
    <w:p w14:paraId="0D97CA3C" w14:textId="77777777" w:rsidR="006174B2" w:rsidRDefault="00000000">
      <w:pPr>
        <w:widowControl/>
        <w:spacing w:line="360" w:lineRule="auto"/>
        <w:ind w:firstLineChars="200" w:firstLine="480"/>
        <w:rPr>
          <w:rFonts w:ascii="Times New Roman" w:eastAsia="宋体" w:hAnsi="Times New Roman" w:cs="Segoe UI"/>
          <w:kern w:val="0"/>
          <w:sz w:val="24"/>
          <w:szCs w:val="24"/>
        </w:rPr>
      </w:pPr>
      <w:r>
        <w:rPr>
          <w:rFonts w:ascii="Times New Roman" w:eastAsia="宋体" w:hAnsi="Times New Roman" w:cs="Segoe UI"/>
          <w:kern w:val="0"/>
          <w:sz w:val="24"/>
          <w:szCs w:val="24"/>
        </w:rPr>
        <w:t>在进行投资可行性分析时，我们采用了专业的财务评估方法。基于历史数据和行业标准，为了反映资金的时间价值</w:t>
      </w:r>
      <w:r>
        <w:rPr>
          <w:rFonts w:ascii="Times New Roman" w:eastAsia="宋体" w:hAnsi="Times New Roman" w:cs="Segoe UI" w:hint="eastAsia"/>
          <w:kern w:val="0"/>
          <w:sz w:val="24"/>
          <w:szCs w:val="24"/>
        </w:rPr>
        <w:t>，</w:t>
      </w:r>
      <w:r>
        <w:rPr>
          <w:rFonts w:ascii="Times New Roman" w:eastAsia="宋体" w:hAnsi="Times New Roman" w:cs="Segoe UI"/>
          <w:kern w:val="0"/>
          <w:sz w:val="24"/>
          <w:szCs w:val="24"/>
        </w:rPr>
        <w:t>我们设定税率</w:t>
      </w:r>
      <m:oMath>
        <m:r>
          <w:rPr>
            <w:rFonts w:ascii="Cambria Math" w:eastAsia="宋体" w:hAnsi="Cambria Math" w:cs="Segoe UI"/>
            <w:kern w:val="0"/>
            <w:sz w:val="24"/>
            <w:szCs w:val="24"/>
          </w:rPr>
          <m:t>α</m:t>
        </m:r>
      </m:oMath>
      <w:r>
        <w:rPr>
          <w:rFonts w:ascii="Times New Roman" w:eastAsia="宋体" w:hAnsi="Times New Roman" w:cs="Segoe UI"/>
          <w:kern w:val="0"/>
          <w:sz w:val="24"/>
          <w:szCs w:val="24"/>
        </w:rPr>
        <w:t>为</w:t>
      </w:r>
      <w:r>
        <w:rPr>
          <w:rFonts w:ascii="Times New Roman" w:eastAsia="宋体" w:hAnsi="Times New Roman" w:cs="Segoe UI"/>
          <w:kern w:val="0"/>
          <w:sz w:val="24"/>
          <w:szCs w:val="24"/>
        </w:rPr>
        <w:t>25%</w:t>
      </w:r>
      <w:r>
        <w:rPr>
          <w:rFonts w:ascii="Times New Roman" w:eastAsia="宋体" w:hAnsi="Times New Roman" w:cs="Segoe UI"/>
          <w:kern w:val="0"/>
          <w:sz w:val="24"/>
          <w:szCs w:val="24"/>
        </w:rPr>
        <w:t>，折现率</w:t>
      </w:r>
      <m:oMath>
        <m:r>
          <w:rPr>
            <w:rFonts w:ascii="Cambria Math" w:eastAsia="宋体" w:hAnsi="Cambria Math" w:cs="Segoe UI"/>
            <w:kern w:val="0"/>
            <w:sz w:val="24"/>
            <w:szCs w:val="24"/>
          </w:rPr>
          <m:t>β</m:t>
        </m:r>
      </m:oMath>
      <w:r>
        <w:rPr>
          <w:rFonts w:ascii="Times New Roman" w:eastAsia="宋体" w:hAnsi="Times New Roman" w:cs="Segoe UI"/>
          <w:kern w:val="0"/>
          <w:sz w:val="24"/>
          <w:szCs w:val="24"/>
        </w:rPr>
        <w:t>为</w:t>
      </w:r>
      <w:r>
        <w:rPr>
          <w:rFonts w:ascii="Times New Roman" w:eastAsia="宋体" w:hAnsi="Times New Roman" w:cs="Segoe UI"/>
          <w:kern w:val="0"/>
          <w:sz w:val="24"/>
          <w:szCs w:val="24"/>
        </w:rPr>
        <w:t>10%</w:t>
      </w:r>
      <w:r>
        <w:rPr>
          <w:rFonts w:ascii="Times New Roman" w:eastAsia="宋体" w:hAnsi="Times New Roman" w:cs="Segoe UI" w:hint="eastAsia"/>
          <w:kern w:val="0"/>
          <w:sz w:val="24"/>
          <w:szCs w:val="24"/>
        </w:rPr>
        <w:t>，年数为</w:t>
      </w:r>
      <w:r>
        <w:rPr>
          <w:rFonts w:ascii="Times New Roman" w:eastAsia="宋体" w:hAnsi="Times New Roman" w:cs="Segoe UI" w:hint="eastAsia"/>
          <w:kern w:val="0"/>
          <w:sz w:val="24"/>
          <w:szCs w:val="24"/>
        </w:rPr>
        <w:t>N,</w:t>
      </w:r>
      <w:r>
        <w:rPr>
          <w:rFonts w:ascii="Times New Roman" w:eastAsia="宋体" w:hAnsi="Times New Roman" w:cs="Segoe UI" w:hint="eastAsia"/>
          <w:kern w:val="0"/>
          <w:sz w:val="24"/>
          <w:szCs w:val="24"/>
        </w:rPr>
        <w:t>初始投资额为</w:t>
      </w:r>
      <m:oMath>
        <m:sSub>
          <m:sSubPr>
            <m:ctrlPr>
              <w:rPr>
                <w:rFonts w:ascii="Cambria Math" w:eastAsia="宋体" w:hAnsi="Cambria Math" w:cs="Segoe UI"/>
                <w:i/>
                <w:kern w:val="0"/>
                <w:sz w:val="24"/>
                <w:szCs w:val="24"/>
              </w:rPr>
            </m:ctrlPr>
          </m:sSubPr>
          <m:e>
            <m:r>
              <w:rPr>
                <w:rFonts w:ascii="Cambria Math" w:eastAsia="宋体" w:hAnsi="Cambria Math" w:cs="Segoe UI" w:hint="eastAsia"/>
                <w:kern w:val="0"/>
                <w:sz w:val="24"/>
                <w:szCs w:val="24"/>
              </w:rPr>
              <m:t>P</m:t>
            </m:r>
          </m:e>
          <m:sub>
            <m:r>
              <w:rPr>
                <w:rFonts w:ascii="Cambria Math" w:eastAsia="宋体" w:hAnsi="Cambria Math" w:cs="Segoe UI"/>
                <w:kern w:val="0"/>
                <w:sz w:val="24"/>
                <w:szCs w:val="24"/>
              </w:rPr>
              <m:t>0</m:t>
            </m:r>
          </m:sub>
        </m:sSub>
      </m:oMath>
      <w:r>
        <w:rPr>
          <w:rFonts w:ascii="Times New Roman" w:eastAsia="宋体" w:hAnsi="Times New Roman" w:cs="Segoe UI" w:hint="eastAsia"/>
          <w:kern w:val="0"/>
          <w:sz w:val="24"/>
          <w:szCs w:val="24"/>
        </w:rPr>
        <w:t xml:space="preserve"> </w:t>
      </w:r>
      <w:r>
        <w:rPr>
          <w:rFonts w:ascii="Times New Roman" w:eastAsia="宋体" w:hAnsi="Times New Roman" w:cs="Segoe UI" w:hint="eastAsia"/>
          <w:kern w:val="0"/>
          <w:sz w:val="24"/>
          <w:szCs w:val="24"/>
        </w:rPr>
        <w:t>同时记年度税前现金流为</w:t>
      </w:r>
      <w:bookmarkStart w:id="33" w:name="_Hlk162078098"/>
      <m:oMath>
        <m:r>
          <w:rPr>
            <w:rFonts w:ascii="Cambria Math" w:eastAsia="宋体" w:hAnsi="Cambria Math" w:cs="Segoe UI"/>
            <w:kern w:val="0"/>
            <w:sz w:val="24"/>
            <w:szCs w:val="24"/>
          </w:rPr>
          <m:t>PTCF</m:t>
        </m:r>
        <w:bookmarkEnd w:id="33"/>
        <m:r>
          <w:rPr>
            <w:rFonts w:ascii="Cambria Math" w:eastAsia="宋体" w:hAnsi="Cambria Math" w:cs="Segoe UI"/>
            <w:kern w:val="0"/>
            <w:sz w:val="24"/>
            <w:szCs w:val="24"/>
          </w:rPr>
          <m:t> (Pre-Tax Cash Flow)</m:t>
        </m:r>
      </m:oMath>
      <w:r>
        <w:rPr>
          <w:rFonts w:ascii="Times New Roman" w:eastAsia="宋体" w:hAnsi="Times New Roman" w:cs="Segoe UI" w:hint="eastAsia"/>
          <w:kern w:val="0"/>
          <w:sz w:val="24"/>
          <w:szCs w:val="24"/>
        </w:rPr>
        <w:t xml:space="preserve"> </w:t>
      </w:r>
      <w:r>
        <w:rPr>
          <w:rFonts w:ascii="Times New Roman" w:eastAsia="宋体" w:hAnsi="Times New Roman" w:cs="Segoe UI"/>
          <w:kern w:val="0"/>
          <w:sz w:val="24"/>
          <w:szCs w:val="24"/>
        </w:rPr>
        <w:t>根据这些参数，我们预测第</w:t>
      </w:r>
      <w:proofErr w:type="spellStart"/>
      <w:r>
        <w:rPr>
          <w:rFonts w:ascii="Times New Roman" w:eastAsia="宋体" w:hAnsi="Times New Roman" w:cs="Segoe UI" w:hint="eastAsia"/>
          <w:kern w:val="0"/>
          <w:sz w:val="24"/>
          <w:szCs w:val="24"/>
        </w:rPr>
        <w:t>i</w:t>
      </w:r>
      <w:proofErr w:type="spellEnd"/>
      <w:r>
        <w:rPr>
          <w:rFonts w:ascii="Times New Roman" w:eastAsia="宋体" w:hAnsi="Times New Roman" w:cs="Segoe UI"/>
          <w:kern w:val="0"/>
          <w:sz w:val="24"/>
          <w:szCs w:val="24"/>
        </w:rPr>
        <w:t>年的税后净现值（</w:t>
      </w:r>
      <m:oMath>
        <m:sSub>
          <m:sSubPr>
            <m:ctrlPr>
              <w:rPr>
                <w:rFonts w:ascii="Cambria Math" w:eastAsia="宋体" w:hAnsi="Cambria Math" w:cs="Segoe UI"/>
                <w:i/>
                <w:kern w:val="0"/>
                <w:sz w:val="24"/>
                <w:szCs w:val="24"/>
              </w:rPr>
            </m:ctrlPr>
          </m:sSubPr>
          <m:e>
            <m:r>
              <w:rPr>
                <w:rFonts w:ascii="Cambria Math" w:eastAsia="宋体" w:hAnsi="Cambria Math" w:cs="Segoe UI"/>
                <w:kern w:val="0"/>
                <w:sz w:val="24"/>
                <w:szCs w:val="24"/>
              </w:rPr>
              <m:t>NPV</m:t>
            </m:r>
          </m:e>
          <m:sub>
            <m:r>
              <w:rPr>
                <w:rFonts w:ascii="Cambria Math" w:eastAsia="宋体" w:hAnsi="Cambria Math" w:cs="Segoe UI" w:hint="eastAsia"/>
                <w:kern w:val="0"/>
                <w:sz w:val="24"/>
                <w:szCs w:val="24"/>
              </w:rPr>
              <m:t>i</m:t>
            </m:r>
          </m:sub>
        </m:sSub>
      </m:oMath>
      <w:r>
        <w:rPr>
          <w:rFonts w:ascii="Times New Roman" w:eastAsia="宋体" w:hAnsi="Times New Roman" w:cs="Segoe UI"/>
          <w:kern w:val="0"/>
          <w:sz w:val="24"/>
          <w:szCs w:val="24"/>
        </w:rPr>
        <w:t>）</w:t>
      </w:r>
      <w:r>
        <w:rPr>
          <w:rFonts w:ascii="Times New Roman" w:eastAsia="宋体" w:hAnsi="Times New Roman" w:cs="Segoe UI" w:hint="eastAsia"/>
          <w:kern w:val="0"/>
          <w:sz w:val="24"/>
          <w:szCs w:val="24"/>
        </w:rPr>
        <w:t>。</w:t>
      </w:r>
    </w:p>
    <w:p w14:paraId="133624BC" w14:textId="77777777" w:rsidR="006174B2" w:rsidRDefault="00000000">
      <w:pPr>
        <w:widowControl/>
        <w:spacing w:line="360" w:lineRule="auto"/>
        <w:ind w:firstLineChars="200" w:firstLine="480"/>
        <w:rPr>
          <w:rFonts w:ascii="Times New Roman" w:eastAsia="宋体" w:hAnsi="Times New Roman" w:cs="Segoe UI"/>
          <w:kern w:val="0"/>
          <w:sz w:val="24"/>
          <w:szCs w:val="24"/>
        </w:rPr>
      </w:pPr>
      <m:oMathPara>
        <m:oMath>
          <m:sSub>
            <m:sSubPr>
              <m:ctrlPr>
                <w:rPr>
                  <w:rFonts w:ascii="Cambria Math" w:eastAsia="宋体" w:hAnsi="Cambria Math" w:cs="Segoe UI"/>
                  <w:i/>
                  <w:kern w:val="0"/>
                  <w:sz w:val="24"/>
                  <w:szCs w:val="24"/>
                </w:rPr>
              </m:ctrlPr>
            </m:sSubPr>
            <m:e>
              <m:r>
                <w:rPr>
                  <w:rFonts w:ascii="Cambria Math" w:eastAsia="宋体" w:hAnsi="Cambria Math" w:cs="Segoe UI"/>
                  <w:kern w:val="0"/>
                  <w:sz w:val="24"/>
                  <w:szCs w:val="24"/>
                </w:rPr>
                <m:t>NPV</m:t>
              </m:r>
            </m:e>
            <m:sub>
              <m:r>
                <w:rPr>
                  <w:rFonts w:ascii="Cambria Math" w:eastAsia="宋体" w:hAnsi="Cambria Math" w:cs="Segoe UI"/>
                  <w:kern w:val="0"/>
                  <w:sz w:val="24"/>
                  <w:szCs w:val="24"/>
                </w:rPr>
                <m:t>i</m:t>
              </m:r>
            </m:sub>
          </m:sSub>
          <m:r>
            <w:rPr>
              <w:rFonts w:ascii="Cambria Math" w:eastAsia="宋体" w:hAnsi="Cambria Math" w:cs="Segoe UI"/>
              <w:kern w:val="0"/>
              <w:sz w:val="24"/>
              <w:szCs w:val="24"/>
            </w:rPr>
            <m:t>=</m:t>
          </m:r>
          <m:d>
            <m:dPr>
              <m:ctrlPr>
                <w:rPr>
                  <w:rFonts w:ascii="Cambria Math" w:eastAsia="宋体" w:hAnsi="Cambria Math" w:cs="Segoe UI"/>
                  <w:i/>
                  <w:kern w:val="0"/>
                  <w:sz w:val="24"/>
                  <w:szCs w:val="24"/>
                </w:rPr>
              </m:ctrlPr>
            </m:dPr>
            <m:e>
              <m:r>
                <w:rPr>
                  <w:rFonts w:ascii="Cambria Math" w:eastAsia="宋体" w:hAnsi="Cambria Math" w:cs="Segoe UI"/>
                  <w:kern w:val="0"/>
                  <w:sz w:val="24"/>
                  <w:szCs w:val="24"/>
                </w:rPr>
                <m:t>PTCF</m:t>
              </m:r>
              <m:r>
                <w:rPr>
                  <w:rFonts w:ascii="Cambria Math" w:eastAsia="宋体" w:hAnsi="Cambria Math" w:cs="Segoe UI" w:hint="eastAsia"/>
                  <w:kern w:val="0"/>
                  <w:sz w:val="24"/>
                  <w:szCs w:val="24"/>
                </w:rPr>
                <m:t>·</m:t>
              </m:r>
              <m:r>
                <w:rPr>
                  <w:rFonts w:ascii="Cambria Math" w:eastAsia="宋体" w:hAnsi="Cambria Math" w:cs="Segoe UI"/>
                  <w:kern w:val="0"/>
                  <w:sz w:val="24"/>
                  <w:szCs w:val="24"/>
                </w:rPr>
                <m:t>(1-α)/</m:t>
              </m:r>
              <m:sSup>
                <m:sSupPr>
                  <m:ctrlPr>
                    <w:rPr>
                      <w:rFonts w:ascii="Cambria Math" w:eastAsia="宋体" w:hAnsi="Cambria Math" w:cs="Segoe UI"/>
                      <w:i/>
                      <w:kern w:val="0"/>
                      <w:sz w:val="24"/>
                      <w:szCs w:val="24"/>
                    </w:rPr>
                  </m:ctrlPr>
                </m:sSupPr>
                <m:e>
                  <m:d>
                    <m:dPr>
                      <m:ctrlPr>
                        <w:rPr>
                          <w:rFonts w:ascii="Cambria Math" w:eastAsia="宋体" w:hAnsi="Cambria Math" w:cs="Segoe UI"/>
                          <w:i/>
                          <w:kern w:val="0"/>
                          <w:sz w:val="24"/>
                          <w:szCs w:val="24"/>
                        </w:rPr>
                      </m:ctrlPr>
                    </m:dPr>
                    <m:e>
                      <m:r>
                        <w:rPr>
                          <w:rFonts w:ascii="Cambria Math" w:eastAsia="宋体" w:hAnsi="Cambria Math" w:cs="Segoe UI"/>
                          <w:kern w:val="0"/>
                          <w:sz w:val="24"/>
                          <w:szCs w:val="24"/>
                        </w:rPr>
                        <m:t>1+β</m:t>
                      </m:r>
                    </m:e>
                  </m:d>
                </m:e>
                <m:sup>
                  <m:r>
                    <w:rPr>
                      <w:rFonts w:ascii="Cambria Math" w:eastAsia="宋体" w:hAnsi="Cambria Math" w:cs="Segoe UI" w:hint="eastAsia"/>
                      <w:kern w:val="0"/>
                      <w:sz w:val="24"/>
                      <w:szCs w:val="24"/>
                    </w:rPr>
                    <m:t>N</m:t>
                  </m:r>
                </m:sup>
              </m:sSup>
            </m:e>
          </m:d>
          <m:r>
            <w:rPr>
              <w:rFonts w:ascii="Cambria Math" w:eastAsia="宋体" w:hAnsi="Cambria Math" w:cs="Segoe UI"/>
              <w:kern w:val="0"/>
              <w:sz w:val="24"/>
              <w:szCs w:val="24"/>
            </w:rPr>
            <m:t>-</m:t>
          </m:r>
          <m:sSub>
            <m:sSubPr>
              <m:ctrlPr>
                <w:rPr>
                  <w:rFonts w:ascii="Cambria Math" w:eastAsia="宋体" w:hAnsi="Cambria Math" w:cs="Segoe UI"/>
                  <w:i/>
                  <w:kern w:val="0"/>
                  <w:sz w:val="24"/>
                  <w:szCs w:val="24"/>
                </w:rPr>
              </m:ctrlPr>
            </m:sSubPr>
            <m:e>
              <m:r>
                <w:rPr>
                  <w:rFonts w:ascii="Cambria Math" w:eastAsia="宋体" w:hAnsi="Cambria Math" w:cs="Segoe UI"/>
                  <w:kern w:val="0"/>
                  <w:sz w:val="24"/>
                  <w:szCs w:val="24"/>
                </w:rPr>
                <m:t>P</m:t>
              </m:r>
            </m:e>
            <m:sub>
              <m:r>
                <w:rPr>
                  <w:rFonts w:ascii="Cambria Math" w:eastAsia="宋体" w:hAnsi="Cambria Math" w:cs="Segoe UI"/>
                  <w:kern w:val="0"/>
                  <w:sz w:val="24"/>
                  <w:szCs w:val="24"/>
                </w:rPr>
                <m:t>0</m:t>
              </m:r>
            </m:sub>
          </m:sSub>
        </m:oMath>
      </m:oMathPara>
    </w:p>
    <w:p w14:paraId="1F2BF7F9" w14:textId="77777777" w:rsidR="006174B2" w:rsidRDefault="00000000">
      <w:pPr>
        <w:widowControl/>
        <w:spacing w:line="360" w:lineRule="auto"/>
        <w:ind w:firstLineChars="200" w:firstLine="480"/>
        <w:rPr>
          <w:rFonts w:ascii="Times New Roman" w:eastAsia="宋体" w:hAnsi="Times New Roman" w:cs="Segoe UI"/>
          <w:kern w:val="0"/>
          <w:sz w:val="24"/>
          <w:szCs w:val="24"/>
        </w:rPr>
      </w:pPr>
      <w:r>
        <w:rPr>
          <w:rFonts w:ascii="Times New Roman" w:eastAsia="宋体" w:hAnsi="Times New Roman" w:cs="Segoe UI"/>
          <w:kern w:val="0"/>
          <w:sz w:val="24"/>
          <w:szCs w:val="24"/>
        </w:rPr>
        <w:t>将具体数值代入公式，</w:t>
      </w:r>
      <w:r>
        <w:rPr>
          <w:rFonts w:ascii="Times New Roman" w:eastAsia="宋体" w:hAnsi="Times New Roman" w:cs="Segoe UI" w:hint="eastAsia"/>
          <w:kern w:val="0"/>
          <w:sz w:val="24"/>
          <w:szCs w:val="24"/>
        </w:rPr>
        <w:t>求解</w:t>
      </w:r>
      <w:r>
        <w:rPr>
          <w:rFonts w:ascii="Times New Roman" w:eastAsia="宋体" w:hAnsi="Times New Roman" w:cs="Segoe UI"/>
          <w:kern w:val="0"/>
          <w:sz w:val="24"/>
          <w:szCs w:val="24"/>
        </w:rPr>
        <w:t>税后</w:t>
      </w:r>
      <w:r>
        <w:rPr>
          <w:rFonts w:ascii="Times New Roman" w:eastAsia="宋体" w:hAnsi="Times New Roman" w:cs="Segoe UI"/>
          <w:kern w:val="0"/>
          <w:sz w:val="24"/>
          <w:szCs w:val="24"/>
        </w:rPr>
        <w:t>NPV</w:t>
      </w:r>
      <w:r>
        <w:rPr>
          <w:rFonts w:ascii="Times New Roman" w:eastAsia="宋体" w:hAnsi="Times New Roman" w:cs="Segoe UI" w:hint="eastAsia"/>
          <w:kern w:val="0"/>
          <w:sz w:val="24"/>
          <w:szCs w:val="24"/>
        </w:rPr>
        <w:t>：</w:t>
      </w:r>
    </w:p>
    <w:p w14:paraId="74D4BD5B" w14:textId="77777777" w:rsidR="006174B2" w:rsidRDefault="00000000">
      <w:pPr>
        <w:widowControl/>
        <w:spacing w:line="360" w:lineRule="auto"/>
        <w:ind w:firstLineChars="200" w:firstLine="480"/>
        <w:rPr>
          <w:rFonts w:ascii="Times New Roman" w:eastAsia="宋体" w:hAnsi="Times New Roman" w:cs="Segoe UI"/>
          <w:kern w:val="0"/>
          <w:sz w:val="24"/>
          <w:szCs w:val="24"/>
        </w:rPr>
      </w:pPr>
      <m:oMathPara>
        <m:oMath>
          <m:r>
            <w:rPr>
              <w:rFonts w:ascii="Cambria Math" w:eastAsia="宋体" w:hAnsi="Cambria Math" w:cs="Segoe UI"/>
              <w:kern w:val="0"/>
              <w:sz w:val="24"/>
              <w:szCs w:val="24"/>
            </w:rPr>
            <m:t>NPV ≈ (369.59 / (1 + 0.10)^1) - 600</m:t>
          </m:r>
        </m:oMath>
      </m:oMathPara>
    </w:p>
    <w:p w14:paraId="20714B37" w14:textId="77777777" w:rsidR="006174B2" w:rsidRDefault="00000000">
      <w:pPr>
        <w:widowControl/>
        <w:spacing w:line="360" w:lineRule="auto"/>
        <w:ind w:firstLineChars="200" w:firstLine="480"/>
        <w:rPr>
          <w:rFonts w:ascii="Cambria Math" w:eastAsia="宋体" w:hAnsi="Cambria Math"/>
          <w:i/>
          <w:kern w:val="0"/>
          <w:sz w:val="24"/>
          <w:szCs w:val="24"/>
        </w:rPr>
      </w:pPr>
      <w:r>
        <w:rPr>
          <w:rFonts w:ascii="Times New Roman" w:eastAsia="宋体" w:hAnsi="Times New Roman" w:cs="Segoe UI"/>
          <w:kern w:val="0"/>
          <w:sz w:val="24"/>
          <w:szCs w:val="24"/>
        </w:rPr>
        <w:t>结果约为</w:t>
      </w:r>
      <m:oMath>
        <m:r>
          <m:rPr>
            <m:sty m:val="p"/>
          </m:rPr>
          <w:rPr>
            <w:rFonts w:ascii="Cambria Math" w:eastAsia="宋体" w:hAnsi="Cambria Math" w:cs="Segoe UI"/>
            <w:kern w:val="0"/>
            <w:sz w:val="24"/>
            <w:szCs w:val="24"/>
          </w:rPr>
          <m:t>-264</m:t>
        </m:r>
      </m:oMath>
      <w:r>
        <w:rPr>
          <w:rFonts w:ascii="Times New Roman" w:eastAsia="宋体" w:hAnsi="Times New Roman" w:cs="Segoe UI"/>
          <w:kern w:val="0"/>
          <w:sz w:val="24"/>
          <w:szCs w:val="24"/>
        </w:rPr>
        <w:t>万元。这表明在考虑资金时间价值的情况下，项目在第一年将面临亏损。然而，为了更全面地评估项目的投资潜力，我们还计算了投资回收期。投资回收期是指从项目投资开始到收回全部初始投资所需的时间。考虑资金时间价值的情况，</w:t>
      </w:r>
      <w:r>
        <w:rPr>
          <w:rFonts w:ascii="Times New Roman" w:eastAsia="宋体" w:hAnsi="Times New Roman" w:cs="Segoe UI" w:hint="eastAsia"/>
          <w:kern w:val="0"/>
          <w:sz w:val="24"/>
          <w:szCs w:val="24"/>
        </w:rPr>
        <w:t>我们寻求盈利点，将年出租销售收入化为微分式</w:t>
      </w:r>
      <w:r>
        <w:rPr>
          <w:rFonts w:ascii="Times New Roman" w:eastAsia="宋体" w:hAnsi="Times New Roman" w:cs="Segoe UI" w:hint="eastAsia"/>
          <w:kern w:val="0"/>
          <w:sz w:val="24"/>
          <w:szCs w:val="24"/>
        </w:rPr>
        <w:t>,</w:t>
      </w:r>
      <w:r>
        <w:rPr>
          <w:rFonts w:ascii="Times New Roman" w:eastAsia="宋体" w:hAnsi="Times New Roman" w:cs="Segoe UI" w:hint="eastAsia"/>
          <w:kern w:val="0"/>
          <w:sz w:val="24"/>
          <w:szCs w:val="24"/>
        </w:rPr>
        <w:t>考虑第</w:t>
      </w:r>
      <w:r>
        <w:rPr>
          <w:rFonts w:ascii="Times New Roman" w:eastAsia="宋体" w:hAnsi="Times New Roman" w:cs="Segoe UI" w:hint="eastAsia"/>
          <w:kern w:val="0"/>
          <w:sz w:val="24"/>
          <w:szCs w:val="24"/>
        </w:rPr>
        <w:t>T</w:t>
      </w:r>
      <w:r>
        <w:rPr>
          <w:rFonts w:ascii="Times New Roman" w:eastAsia="宋体" w:hAnsi="Times New Roman" w:cs="Segoe UI" w:hint="eastAsia"/>
          <w:kern w:val="0"/>
          <w:sz w:val="24"/>
          <w:szCs w:val="24"/>
        </w:rPr>
        <w:t>年的收入情况</w:t>
      </w:r>
      <w:r>
        <w:rPr>
          <w:rFonts w:ascii="Cambria Math" w:eastAsia="宋体" w:hAnsi="Cambria Math"/>
          <w:i/>
          <w:spacing w:val="4"/>
          <w:kern w:val="0"/>
          <w:sz w:val="24"/>
          <w:szCs w:val="24"/>
          <w:shd w:val="clear" w:color="auto" w:fill="FFFFFF"/>
        </w:rPr>
        <w:br/>
      </w:r>
      <m:oMathPara>
        <m:oMath>
          <m:sSub>
            <m:sSubPr>
              <m:ctrlPr>
                <w:rPr>
                  <w:rFonts w:ascii="Cambria Math" w:eastAsia="宋体" w:hAnsi="Cambria Math" w:cs="Segoe UI"/>
                  <w:i/>
                  <w:kern w:val="0"/>
                  <w:sz w:val="24"/>
                  <w:szCs w:val="24"/>
                </w:rPr>
              </m:ctrlPr>
            </m:sSubPr>
            <m:e>
              <m:r>
                <w:rPr>
                  <w:rFonts w:ascii="Cambria Math" w:eastAsia="宋体" w:hAnsi="Cambria Math" w:cs="Segoe UI"/>
                  <w:kern w:val="0"/>
                  <w:sz w:val="24"/>
                  <w:szCs w:val="24"/>
                </w:rPr>
                <m:t>W</m:t>
              </m:r>
            </m:e>
            <m:sub>
              <m:r>
                <w:rPr>
                  <w:rFonts w:ascii="Cambria Math" w:eastAsia="宋体" w:hAnsi="Cambria Math" w:cs="Segoe UI" w:hint="eastAsia"/>
                  <w:kern w:val="0"/>
                  <w:sz w:val="24"/>
                  <w:szCs w:val="24"/>
                </w:rPr>
                <m:t>i</m:t>
              </m:r>
              <m:r>
                <w:rPr>
                  <w:rFonts w:ascii="Cambria Math" w:eastAsia="宋体" w:hAnsi="Cambria Math" w:cs="Segoe UI"/>
                  <w:kern w:val="0"/>
                  <w:sz w:val="24"/>
                  <w:szCs w:val="24"/>
                </w:rPr>
                <m:t>-1</m:t>
              </m:r>
            </m:sub>
          </m:sSub>
          <m:r>
            <w:rPr>
              <w:rFonts w:ascii="Cambria Math" w:eastAsia="宋体" w:hAnsi="Cambria Math" w:cs="Segoe UI"/>
              <w:kern w:val="0"/>
              <w:sz w:val="24"/>
              <w:szCs w:val="24"/>
            </w:rPr>
            <m:t>+d</m:t>
          </m:r>
          <m:sSub>
            <m:sSubPr>
              <m:ctrlPr>
                <w:rPr>
                  <w:rFonts w:ascii="Cambria Math" w:eastAsia="宋体" w:hAnsi="Cambria Math" w:cs="Segoe UI"/>
                  <w:i/>
                  <w:kern w:val="0"/>
                  <w:sz w:val="24"/>
                  <w:szCs w:val="24"/>
                </w:rPr>
              </m:ctrlPr>
            </m:sSubPr>
            <m:e>
              <m:r>
                <w:rPr>
                  <w:rFonts w:ascii="Cambria Math" w:eastAsia="宋体" w:hAnsi="Cambria Math" w:cs="Segoe UI"/>
                  <w:kern w:val="0"/>
                  <w:sz w:val="24"/>
                  <w:szCs w:val="24"/>
                </w:rPr>
                <m:t>W</m:t>
              </m:r>
            </m:e>
            <m:sub>
              <m:r>
                <w:rPr>
                  <w:rFonts w:ascii="Cambria Math" w:eastAsia="宋体" w:hAnsi="Cambria Math" w:cs="Segoe UI"/>
                  <w:kern w:val="0"/>
                  <w:sz w:val="24"/>
                  <w:szCs w:val="24"/>
                </w:rPr>
                <m:t>i</m:t>
              </m:r>
            </m:sub>
          </m:sSub>
          <m:r>
            <w:rPr>
              <w:rFonts w:ascii="Cambria Math" w:eastAsia="宋体" w:hAnsi="Cambria Math" w:cs="Segoe UI"/>
              <w:kern w:val="0"/>
              <w:sz w:val="24"/>
              <w:szCs w:val="24"/>
            </w:rPr>
            <m:t>=</m:t>
          </m:r>
          <m:sSub>
            <m:sSubPr>
              <m:ctrlPr>
                <w:rPr>
                  <w:rFonts w:ascii="Cambria Math" w:eastAsia="宋体" w:hAnsi="Cambria Math" w:cs="Segoe UI"/>
                  <w:i/>
                  <w:kern w:val="0"/>
                  <w:sz w:val="24"/>
                  <w:szCs w:val="24"/>
                </w:rPr>
              </m:ctrlPr>
            </m:sSubPr>
            <m:e>
              <m:r>
                <w:rPr>
                  <w:rFonts w:ascii="Cambria Math" w:eastAsia="宋体" w:hAnsi="Cambria Math" w:cs="Segoe UI"/>
                  <w:kern w:val="0"/>
                  <w:sz w:val="24"/>
                  <w:szCs w:val="24"/>
                </w:rPr>
                <m:t>μ</m:t>
              </m:r>
            </m:e>
            <m:sub>
              <m:r>
                <w:rPr>
                  <w:rFonts w:ascii="Cambria Math" w:eastAsia="宋体" w:hAnsi="Cambria Math" w:cs="Segoe UI" w:hint="eastAsia"/>
                  <w:kern w:val="0"/>
                  <w:sz w:val="24"/>
                  <w:szCs w:val="24"/>
                </w:rPr>
                <m:t>i</m:t>
              </m:r>
            </m:sub>
          </m:sSub>
          <m:d>
            <m:dPr>
              <m:begChr m:val="（"/>
              <m:endChr m:val="）"/>
              <m:ctrlPr>
                <w:rPr>
                  <w:rFonts w:ascii="Cambria Math" w:eastAsia="宋体" w:hAnsi="Cambria Math" w:cs="Segoe UI"/>
                  <w:i/>
                  <w:kern w:val="0"/>
                  <w:sz w:val="24"/>
                  <w:szCs w:val="24"/>
                </w:rPr>
              </m:ctrlPr>
            </m:dPr>
            <m:e>
              <m:r>
                <w:rPr>
                  <w:rFonts w:ascii="Cambria Math" w:eastAsia="宋体" w:hAnsi="Cambria Math" w:cs="Segoe UI"/>
                  <w:kern w:val="0"/>
                  <w:sz w:val="24"/>
                  <w:szCs w:val="24"/>
                </w:rPr>
                <m:t>CP</m:t>
              </m:r>
            </m:e>
          </m:d>
          <m:r>
            <w:rPr>
              <w:rFonts w:ascii="Cambria Math" w:eastAsia="宋体" w:hAnsi="Cambria Math" w:cs="Segoe UI"/>
              <w:kern w:val="0"/>
              <w:sz w:val="24"/>
              <w:szCs w:val="24"/>
            </w:rPr>
            <m:t>+</m:t>
          </m:r>
          <m:d>
            <m:dPr>
              <m:begChr m:val="（"/>
              <m:endChr m:val="）"/>
              <m:ctrlPr>
                <w:rPr>
                  <w:rFonts w:ascii="Cambria Math" w:eastAsia="宋体" w:hAnsi="Cambria Math" w:cs="Segoe UI"/>
                  <w:i/>
                  <w:kern w:val="0"/>
                  <w:sz w:val="24"/>
                  <w:szCs w:val="24"/>
                </w:rPr>
              </m:ctrlPr>
            </m:dPr>
            <m:e>
              <m:r>
                <w:rPr>
                  <w:rFonts w:ascii="Cambria Math" w:eastAsia="宋体" w:hAnsi="Cambria Math" w:cs="Segoe UI"/>
                  <w:kern w:val="0"/>
                  <w:sz w:val="24"/>
                  <w:szCs w:val="24"/>
                </w:rPr>
                <m:t>1-</m:t>
              </m:r>
              <m:sSub>
                <m:sSubPr>
                  <m:ctrlPr>
                    <w:rPr>
                      <w:rFonts w:ascii="Cambria Math" w:eastAsia="宋体" w:hAnsi="Cambria Math" w:cs="Segoe UI"/>
                      <w:i/>
                      <w:kern w:val="0"/>
                      <w:sz w:val="24"/>
                      <w:szCs w:val="24"/>
                    </w:rPr>
                  </m:ctrlPr>
                </m:sSubPr>
                <m:e>
                  <m:r>
                    <w:rPr>
                      <w:rFonts w:ascii="Cambria Math" w:eastAsia="宋体" w:hAnsi="Cambria Math" w:cs="Segoe UI"/>
                      <w:kern w:val="0"/>
                      <w:sz w:val="24"/>
                      <w:szCs w:val="24"/>
                    </w:rPr>
                    <m:t>μ</m:t>
                  </m:r>
                </m:e>
                <m:sub>
                  <m:r>
                    <w:rPr>
                      <w:rFonts w:ascii="Cambria Math" w:eastAsia="宋体" w:hAnsi="Cambria Math" w:cs="Segoe UI" w:hint="eastAsia"/>
                      <w:kern w:val="0"/>
                      <w:sz w:val="24"/>
                      <w:szCs w:val="24"/>
                    </w:rPr>
                    <m:t>i</m:t>
                  </m:r>
                </m:sub>
              </m:sSub>
            </m:e>
          </m:d>
          <m:sSub>
            <m:sSubPr>
              <m:ctrlPr>
                <w:rPr>
                  <w:rFonts w:ascii="Cambria Math" w:eastAsia="宋体" w:hAnsi="Cambria Math" w:cs="Segoe UI"/>
                  <w:i/>
                  <w:kern w:val="0"/>
                  <w:sz w:val="24"/>
                  <w:szCs w:val="24"/>
                </w:rPr>
              </m:ctrlPr>
            </m:sSubPr>
            <m:e>
              <m:r>
                <w:rPr>
                  <w:rFonts w:ascii="Cambria Math" w:eastAsia="宋体" w:hAnsi="Cambria Math" w:cs="Segoe UI"/>
                  <w:kern w:val="0"/>
                  <w:sz w:val="24"/>
                  <w:szCs w:val="24"/>
                </w:rPr>
                <m:t>W</m:t>
              </m:r>
            </m:e>
            <m:sub>
              <m:r>
                <w:rPr>
                  <w:rFonts w:ascii="Cambria Math" w:eastAsia="宋体" w:hAnsi="Cambria Math" w:cs="Segoe UI" w:hint="eastAsia"/>
                  <w:kern w:val="0"/>
                  <w:sz w:val="24"/>
                  <w:szCs w:val="24"/>
                </w:rPr>
                <m:t>i</m:t>
              </m:r>
              <m:r>
                <w:rPr>
                  <w:rFonts w:ascii="Cambria Math" w:eastAsia="宋体" w:hAnsi="Cambria Math" w:cs="Segoe UI"/>
                  <w:kern w:val="0"/>
                  <w:sz w:val="24"/>
                  <w:szCs w:val="24"/>
                </w:rPr>
                <m:t>-1</m:t>
              </m:r>
            </m:sub>
          </m:sSub>
        </m:oMath>
      </m:oMathPara>
    </w:p>
    <w:p w14:paraId="355F39E6" w14:textId="77777777" w:rsidR="006174B2" w:rsidRDefault="00000000">
      <w:pPr>
        <w:widowControl/>
        <w:spacing w:line="360" w:lineRule="auto"/>
        <w:rPr>
          <w:rFonts w:ascii="Times New Roman" w:eastAsia="宋体" w:hAnsi="Times New Roman" w:cs="Segoe UI"/>
          <w:i/>
          <w:kern w:val="0"/>
          <w:sz w:val="24"/>
          <w:szCs w:val="24"/>
        </w:rPr>
      </w:pPr>
      <m:oMathPara>
        <m:oMath>
          <m:r>
            <m:rPr>
              <m:sty m:val="p"/>
            </m:rPr>
            <w:rPr>
              <w:rFonts w:ascii="Cambria Math" w:eastAsia="宋体" w:hAnsi="Cambria Math" w:cs="Segoe UI" w:hint="eastAsia"/>
              <w:kern w:val="0"/>
              <w:sz w:val="24"/>
              <w:szCs w:val="24"/>
            </w:rPr>
            <m:t>CP</m:t>
          </m:r>
          <m:r>
            <m:rPr>
              <m:sty m:val="p"/>
            </m:rPr>
            <w:rPr>
              <w:rFonts w:ascii="Cambria Math" w:eastAsia="宋体" w:hAnsi="Cambria Math" w:cs="Segoe UI"/>
              <w:kern w:val="0"/>
              <w:sz w:val="24"/>
              <w:szCs w:val="24"/>
            </w:rPr>
            <m:t>=</m:t>
          </m:r>
          <m:sSub>
            <m:sSubPr>
              <m:ctrlPr>
                <w:rPr>
                  <w:rFonts w:ascii="Cambria Math" w:eastAsia="宋体" w:hAnsi="Cambria Math" w:cs="Segoe UI"/>
                  <w:i/>
                  <w:kern w:val="0"/>
                  <w:sz w:val="24"/>
                  <w:szCs w:val="24"/>
                </w:rPr>
              </m:ctrlPr>
            </m:sSubPr>
            <m:e>
              <w:bookmarkStart w:id="34" w:name="_Hlk162085163"/>
              <m:r>
                <m:rPr>
                  <m:sty m:val="p"/>
                </m:rPr>
                <w:rPr>
                  <w:rFonts w:ascii="Cambria Math" w:eastAsia="宋体" w:hAnsi="Cambria Math" w:cs="Segoe UI" w:hint="eastAsia"/>
                  <w:kern w:val="0"/>
                  <w:sz w:val="24"/>
                  <w:szCs w:val="24"/>
                </w:rPr>
                <m:t>CP</m:t>
              </m:r>
            </m:e>
            <m:sub>
              <m:r>
                <m:rPr>
                  <m:sty m:val="p"/>
                </m:rPr>
                <w:rPr>
                  <w:rFonts w:ascii="Cambria Math" w:eastAsia="宋体" w:hAnsi="Cambria Math" w:cs="Segoe UI"/>
                  <w:kern w:val="0"/>
                  <w:sz w:val="24"/>
                  <w:szCs w:val="24"/>
                </w:rPr>
                <m:t>0</m:t>
              </m:r>
              <w:bookmarkEnd w:id="34"/>
            </m:sub>
          </m:sSub>
          <m:r>
            <m:rPr>
              <m:sty m:val="p"/>
            </m:rPr>
            <w:rPr>
              <w:rFonts w:ascii="Cambria Math" w:eastAsia="宋体" w:hAnsi="Cambria Math" w:cs="Segoe UI"/>
              <w:kern w:val="0"/>
              <w:sz w:val="24"/>
              <w:szCs w:val="24"/>
            </w:rPr>
            <m:t>+</m:t>
          </m:r>
          <m:nary>
            <m:naryPr>
              <m:limLoc m:val="subSup"/>
              <m:ctrlPr>
                <w:rPr>
                  <w:rFonts w:ascii="Cambria Math" w:eastAsia="宋体" w:hAnsi="Cambria Math" w:cs="Segoe UI"/>
                  <w:i/>
                  <w:kern w:val="0"/>
                  <w:sz w:val="24"/>
                  <w:szCs w:val="24"/>
                </w:rPr>
              </m:ctrlPr>
            </m:naryPr>
            <m:sub>
              <m:r>
                <w:rPr>
                  <w:rFonts w:ascii="Cambria Math" w:eastAsia="宋体" w:hAnsi="Cambria Math" w:cs="Segoe UI"/>
                  <w:kern w:val="0"/>
                  <w:sz w:val="24"/>
                  <w:szCs w:val="24"/>
                </w:rPr>
                <m:t>0</m:t>
              </m:r>
            </m:sub>
            <m:sup>
              <m:r>
                <w:rPr>
                  <w:rFonts w:ascii="Cambria Math" w:eastAsia="宋体" w:hAnsi="Cambria Math" w:cs="Segoe UI" w:hint="eastAsia"/>
                  <w:kern w:val="0"/>
                  <w:sz w:val="24"/>
                  <w:szCs w:val="24"/>
                </w:rPr>
                <m:t>T</m:t>
              </m:r>
              <m:r>
                <w:rPr>
                  <w:rFonts w:ascii="Cambria Math" w:eastAsia="宋体" w:hAnsi="Cambria Math" w:cs="Segoe UI"/>
                  <w:kern w:val="0"/>
                  <w:sz w:val="24"/>
                  <w:szCs w:val="24"/>
                </w:rPr>
                <m:t>/</m:t>
              </m:r>
              <m:r>
                <w:rPr>
                  <w:rFonts w:ascii="Cambria Math" w:eastAsia="宋体" w:hAnsi="Cambria Math" w:cs="Segoe UI" w:hint="eastAsia"/>
                  <w:kern w:val="0"/>
                  <w:sz w:val="24"/>
                  <w:szCs w:val="24"/>
                </w:rPr>
                <m:t>N</m:t>
              </m:r>
            </m:sup>
            <m:e>
              <m:r>
                <w:rPr>
                  <w:rFonts w:ascii="Cambria Math" w:eastAsia="宋体" w:hAnsi="Cambria Math" w:cs="Segoe UI"/>
                  <w:kern w:val="0"/>
                  <w:sz w:val="24"/>
                  <w:szCs w:val="24"/>
                </w:rPr>
                <m:t>(c-(c-δ)j)Num(j)dj</m:t>
              </m:r>
            </m:e>
          </m:nary>
        </m:oMath>
      </m:oMathPara>
    </w:p>
    <w:p w14:paraId="213CF9E2" w14:textId="77777777" w:rsidR="006174B2" w:rsidRDefault="00000000">
      <w:pPr>
        <w:widowControl/>
        <w:spacing w:line="360" w:lineRule="auto"/>
        <w:rPr>
          <w:rFonts w:ascii="Times New Roman" w:eastAsia="宋体" w:hAnsi="Times New Roman" w:cs="Segoe UI"/>
          <w:kern w:val="0"/>
          <w:sz w:val="24"/>
          <w:szCs w:val="24"/>
        </w:rPr>
      </w:pPr>
      <w:proofErr w:type="gramStart"/>
      <w:r>
        <w:rPr>
          <w:rFonts w:ascii="Times New Roman" w:eastAsia="宋体" w:hAnsi="Times New Roman" w:cs="Segoe UI" w:hint="eastAsia"/>
          <w:kern w:val="0"/>
          <w:sz w:val="24"/>
          <w:szCs w:val="24"/>
        </w:rPr>
        <w:t>令第</w:t>
      </w:r>
      <w:proofErr w:type="gramEnd"/>
      <w:r>
        <w:rPr>
          <w:rFonts w:ascii="Times New Roman" w:eastAsia="宋体" w:hAnsi="Times New Roman" w:cs="Segoe UI" w:hint="eastAsia"/>
          <w:kern w:val="0"/>
          <w:sz w:val="24"/>
          <w:szCs w:val="24"/>
        </w:rPr>
        <w:t>T</w:t>
      </w:r>
      <w:r>
        <w:rPr>
          <w:rFonts w:ascii="Times New Roman" w:eastAsia="宋体" w:hAnsi="Times New Roman" w:cs="Segoe UI" w:hint="eastAsia"/>
          <w:kern w:val="0"/>
          <w:sz w:val="24"/>
          <w:szCs w:val="24"/>
        </w:rPr>
        <w:t>年全部收入等于初始投资，得到积分方程</w:t>
      </w:r>
    </w:p>
    <w:p w14:paraId="3B4B17F6" w14:textId="77777777" w:rsidR="006174B2" w:rsidRDefault="00000000">
      <w:pPr>
        <w:widowControl/>
        <w:spacing w:line="360" w:lineRule="auto"/>
        <w:rPr>
          <w:rFonts w:ascii="Times New Roman" w:eastAsia="宋体" w:hAnsi="Times New Roman" w:cs="Segoe UI"/>
          <w:kern w:val="0"/>
          <w:sz w:val="24"/>
          <w:szCs w:val="24"/>
        </w:rPr>
      </w:pPr>
      <m:oMathPara>
        <m:oMath>
          <m:r>
            <w:rPr>
              <w:rFonts w:ascii="Cambria Math" w:eastAsia="宋体" w:hAnsi="Cambria Math" w:cs="Segoe UI" w:hint="eastAsia"/>
              <w:kern w:val="0"/>
              <w:sz w:val="24"/>
              <w:szCs w:val="24"/>
            </w:rPr>
            <m:t>W</m:t>
          </m:r>
          <m:r>
            <w:rPr>
              <w:rFonts w:ascii="Cambria Math" w:eastAsia="宋体" w:hAnsi="Cambria Math" w:cs="Segoe UI"/>
              <w:kern w:val="0"/>
              <w:sz w:val="24"/>
              <w:szCs w:val="24"/>
            </w:rPr>
            <m:t>(T)=</m:t>
          </m:r>
          <m:nary>
            <m:naryPr>
              <m:limLoc m:val="subSup"/>
              <m:ctrlPr>
                <w:rPr>
                  <w:rFonts w:ascii="Cambria Math" w:eastAsia="宋体" w:hAnsi="Cambria Math" w:cs="Segoe UI"/>
                  <w:i/>
                  <w:kern w:val="0"/>
                  <w:sz w:val="24"/>
                  <w:szCs w:val="24"/>
                </w:rPr>
              </m:ctrlPr>
            </m:naryPr>
            <m:sub>
              <m:r>
                <w:rPr>
                  <w:rFonts w:ascii="Cambria Math" w:eastAsia="宋体" w:hAnsi="Cambria Math" w:cs="Segoe UI"/>
                  <w:kern w:val="0"/>
                  <w:sz w:val="24"/>
                  <w:szCs w:val="24"/>
                </w:rPr>
                <m:t>0</m:t>
              </m:r>
            </m:sub>
            <m:sup>
              <m:r>
                <w:rPr>
                  <w:rFonts w:ascii="Cambria Math" w:eastAsia="宋体" w:hAnsi="Cambria Math" w:cs="Segoe UI" w:hint="eastAsia"/>
                  <w:kern w:val="0"/>
                  <w:sz w:val="24"/>
                  <w:szCs w:val="24"/>
                </w:rPr>
                <m:t>T</m:t>
              </m:r>
            </m:sup>
            <m:e>
              <m:r>
                <w:rPr>
                  <w:rFonts w:ascii="Cambria Math" w:eastAsia="宋体" w:hAnsi="Cambria Math" w:cs="Segoe UI"/>
                  <w:kern w:val="0"/>
                  <w:sz w:val="24"/>
                  <w:szCs w:val="24"/>
                </w:rPr>
                <m:t>(μ(</m:t>
              </m:r>
              <m:sSub>
                <m:sSubPr>
                  <m:ctrlPr>
                    <w:rPr>
                      <w:rFonts w:ascii="Cambria Math" w:eastAsia="宋体" w:hAnsi="Cambria Math" w:cs="Segoe UI"/>
                      <w:i/>
                      <w:kern w:val="0"/>
                      <w:sz w:val="24"/>
                      <w:szCs w:val="24"/>
                    </w:rPr>
                  </m:ctrlPr>
                </m:sSubPr>
                <m:e>
                  <m:r>
                    <w:rPr>
                      <w:rFonts w:ascii="Cambria Math" w:eastAsia="宋体" w:hAnsi="Cambria Math" w:cs="Segoe UI" w:hint="eastAsia"/>
                      <w:kern w:val="0"/>
                      <w:sz w:val="24"/>
                      <w:szCs w:val="24"/>
                    </w:rPr>
                    <m:t>CP</m:t>
                  </m:r>
                </m:e>
                <m:sub>
                  <m:r>
                    <w:rPr>
                      <w:rFonts w:ascii="Cambria Math" w:eastAsia="宋体" w:hAnsi="Cambria Math" w:cs="Segoe UI"/>
                      <w:kern w:val="0"/>
                      <w:sz w:val="24"/>
                      <w:szCs w:val="24"/>
                    </w:rPr>
                    <m:t>0</m:t>
                  </m:r>
                </m:sub>
              </m:sSub>
              <m:r>
                <w:rPr>
                  <w:rFonts w:ascii="Cambria Math" w:eastAsia="宋体" w:hAnsi="Cambria Math" w:cs="Segoe UI"/>
                  <w:kern w:val="0"/>
                  <w:sz w:val="24"/>
                  <w:szCs w:val="24"/>
                </w:rPr>
                <m:t>+</m:t>
              </m:r>
              <m:nary>
                <m:naryPr>
                  <m:limLoc m:val="subSup"/>
                  <m:ctrlPr>
                    <w:rPr>
                      <w:rFonts w:ascii="Cambria Math" w:eastAsia="宋体" w:hAnsi="Cambria Math" w:cs="Segoe UI"/>
                      <w:i/>
                      <w:kern w:val="0"/>
                      <w:sz w:val="24"/>
                      <w:szCs w:val="24"/>
                    </w:rPr>
                  </m:ctrlPr>
                </m:naryPr>
                <m:sub>
                  <m:r>
                    <w:rPr>
                      <w:rFonts w:ascii="Cambria Math" w:eastAsia="宋体" w:hAnsi="Cambria Math" w:cs="Segoe UI"/>
                      <w:kern w:val="0"/>
                      <w:sz w:val="24"/>
                      <w:szCs w:val="24"/>
                    </w:rPr>
                    <m:t>0</m:t>
                  </m:r>
                </m:sub>
                <m:sup>
                  <m:r>
                    <w:rPr>
                      <w:rFonts w:ascii="Cambria Math" w:eastAsia="宋体" w:hAnsi="Cambria Math" w:cs="Segoe UI" w:hint="eastAsia"/>
                      <w:kern w:val="0"/>
                      <w:sz w:val="24"/>
                      <w:szCs w:val="24"/>
                    </w:rPr>
                    <m:t>T</m:t>
                  </m:r>
                </m:sup>
                <m:e>
                  <m:r>
                    <w:rPr>
                      <w:rFonts w:ascii="Cambria Math" w:eastAsia="宋体" w:hAnsi="Cambria Math" w:cs="Segoe UI"/>
                      <w:kern w:val="0"/>
                      <w:sz w:val="24"/>
                      <w:szCs w:val="24"/>
                    </w:rPr>
                    <m:t>(c-(c-δ)j)Num(j)dj</m:t>
                  </m:r>
                </m:e>
              </m:nary>
              <m:r>
                <w:rPr>
                  <w:rFonts w:ascii="Cambria Math" w:eastAsia="宋体" w:hAnsi="Cambria Math" w:cs="Segoe UI"/>
                  <w:kern w:val="0"/>
                  <w:sz w:val="24"/>
                  <w:szCs w:val="24"/>
                </w:rPr>
                <m:t>)</m:t>
              </m:r>
            </m:e>
          </m:nary>
          <m:r>
            <w:rPr>
              <w:rFonts w:ascii="Cambria Math" w:eastAsia="宋体" w:hAnsi="Cambria Math" w:cs="Segoe UI"/>
              <w:kern w:val="0"/>
              <w:sz w:val="24"/>
              <w:szCs w:val="24"/>
            </w:rPr>
            <m:t>-μW)dW</m:t>
          </m:r>
        </m:oMath>
      </m:oMathPara>
    </w:p>
    <w:p w14:paraId="4AE30F6F" w14:textId="77777777" w:rsidR="006174B2" w:rsidRDefault="00000000">
      <w:pPr>
        <w:widowControl/>
        <w:spacing w:line="360" w:lineRule="auto"/>
        <w:rPr>
          <w:rFonts w:ascii="Times New Roman" w:eastAsia="宋体" w:hAnsi="Times New Roman" w:cs="Segoe UI"/>
          <w:kern w:val="0"/>
          <w:sz w:val="24"/>
          <w:szCs w:val="24"/>
        </w:rPr>
      </w:pPr>
      <w:r>
        <w:rPr>
          <w:rFonts w:ascii="Times New Roman" w:eastAsia="宋体" w:hAnsi="Times New Roman" w:cs="Segoe UI" w:hint="eastAsia"/>
          <w:kern w:val="0"/>
          <w:sz w:val="24"/>
          <w:szCs w:val="24"/>
        </w:rPr>
        <w:t>数值求解积分方程，得到</w:t>
      </w:r>
      <w:r>
        <w:rPr>
          <w:rFonts w:ascii="Times New Roman" w:eastAsia="宋体" w:hAnsi="Times New Roman" w:cs="Segoe UI"/>
          <w:kern w:val="0"/>
          <w:sz w:val="24"/>
          <w:szCs w:val="24"/>
        </w:rPr>
        <w:t>项目投资开始到收回全部初始投资所需的时间</w:t>
      </w:r>
      <w:r>
        <w:rPr>
          <w:rFonts w:ascii="Times New Roman" w:eastAsia="宋体" w:hAnsi="Times New Roman" w:cs="Segoe UI" w:hint="eastAsia"/>
          <w:kern w:val="0"/>
          <w:sz w:val="24"/>
          <w:szCs w:val="24"/>
        </w:rPr>
        <w:t>T</w:t>
      </w:r>
    </w:p>
    <w:p w14:paraId="03D3F1B7" w14:textId="77777777" w:rsidR="006174B2" w:rsidRDefault="00000000">
      <w:pPr>
        <w:widowControl/>
        <w:spacing w:line="360" w:lineRule="auto"/>
        <w:ind w:firstLineChars="200" w:firstLine="480"/>
        <w:rPr>
          <w:rFonts w:ascii="Times New Roman" w:eastAsia="宋体" w:hAnsi="Times New Roman" w:cs="Segoe UI"/>
          <w:kern w:val="0"/>
          <w:sz w:val="24"/>
          <w:szCs w:val="24"/>
        </w:rPr>
      </w:pPr>
      <m:oMathPara>
        <m:oMath>
          <m:r>
            <w:rPr>
              <w:rFonts w:ascii="Cambria Math" w:eastAsia="宋体" w:hAnsi="Cambria Math" w:cs="Segoe UI"/>
              <w:kern w:val="0"/>
              <w:sz w:val="24"/>
              <w:szCs w:val="24"/>
            </w:rPr>
            <m:t>T≈1.36(year)</m:t>
          </m:r>
        </m:oMath>
      </m:oMathPara>
    </w:p>
    <w:p w14:paraId="74ECAB88" w14:textId="77777777" w:rsidR="006174B2" w:rsidRDefault="00000000">
      <w:pPr>
        <w:widowControl/>
        <w:spacing w:line="360" w:lineRule="auto"/>
        <w:ind w:firstLineChars="200" w:firstLine="480"/>
        <w:rPr>
          <w:rFonts w:ascii="Times New Roman" w:eastAsia="宋体" w:hAnsi="Times New Roman" w:cs="Segoe UI"/>
          <w:kern w:val="0"/>
          <w:sz w:val="24"/>
          <w:szCs w:val="24"/>
        </w:rPr>
      </w:pPr>
      <w:r>
        <w:rPr>
          <w:rFonts w:ascii="Times New Roman" w:eastAsia="宋体" w:hAnsi="Times New Roman" w:cs="Segoe UI"/>
          <w:kern w:val="0"/>
          <w:sz w:val="24"/>
          <w:szCs w:val="24"/>
        </w:rPr>
        <w:t>这意味着在不考虑折现因素的情况下，投资者大约在</w:t>
      </w:r>
      <w:r>
        <w:rPr>
          <w:rFonts w:ascii="Times New Roman" w:eastAsia="宋体" w:hAnsi="Times New Roman" w:cs="Segoe UI"/>
          <w:kern w:val="0"/>
          <w:sz w:val="24"/>
          <w:szCs w:val="24"/>
        </w:rPr>
        <w:t>1.36</w:t>
      </w:r>
      <w:r>
        <w:rPr>
          <w:rFonts w:ascii="Times New Roman" w:eastAsia="宋体" w:hAnsi="Times New Roman" w:cs="Segoe UI"/>
          <w:kern w:val="0"/>
          <w:sz w:val="24"/>
          <w:szCs w:val="24"/>
        </w:rPr>
        <w:t>年内能够收回初始投资成本。我们的分析表明本项目具有较高的投资潜力和市场竞争力，有望为投资者带来可观的长期回报。</w:t>
      </w:r>
    </w:p>
    <w:p w14:paraId="367D6722" w14:textId="77777777" w:rsidR="006174B2" w:rsidRDefault="00000000">
      <w:pPr>
        <w:widowControl/>
        <w:spacing w:beforeLines="50" w:before="156" w:afterLines="50" w:after="156"/>
        <w:ind w:firstLine="656"/>
        <w:jc w:val="center"/>
        <w:outlineLvl w:val="0"/>
        <w:rPr>
          <w:rFonts w:ascii="黑体" w:eastAsia="黑体" w:hAnsi="黑体" w:cs="黑体"/>
          <w:kern w:val="0"/>
          <w:sz w:val="32"/>
          <w:szCs w:val="32"/>
        </w:rPr>
      </w:pPr>
      <w:bookmarkStart w:id="35" w:name="_Toc10387"/>
      <w:r>
        <w:rPr>
          <w:rFonts w:ascii="黑体" w:eastAsia="黑体" w:hAnsi="黑体" w:cs="黑体" w:hint="eastAsia"/>
          <w:kern w:val="0"/>
          <w:sz w:val="32"/>
          <w:szCs w:val="32"/>
        </w:rPr>
        <w:t>七、风险评估与应对措施</w:t>
      </w:r>
      <w:bookmarkEnd w:id="35"/>
    </w:p>
    <w:p w14:paraId="03EA5E65" w14:textId="77777777" w:rsidR="006174B2" w:rsidRDefault="00000000">
      <w:pPr>
        <w:widowControl/>
        <w:spacing w:beforeLines="50" w:before="156" w:afterLines="50" w:after="156"/>
        <w:outlineLvl w:val="1"/>
        <w:rPr>
          <w:rFonts w:ascii="黑体" w:eastAsia="黑体" w:hAnsi="黑体" w:cs="黑体"/>
          <w:kern w:val="0"/>
          <w:sz w:val="28"/>
          <w:szCs w:val="28"/>
        </w:rPr>
      </w:pPr>
      <w:bookmarkStart w:id="36" w:name="_Toc10126"/>
      <w:r>
        <w:rPr>
          <w:rFonts w:ascii="黑体" w:eastAsia="黑体" w:hAnsi="黑体" w:cs="黑体" w:hint="eastAsia"/>
          <w:kern w:val="0"/>
          <w:sz w:val="28"/>
          <w:szCs w:val="28"/>
        </w:rPr>
        <w:t>7.1 风险评估</w:t>
      </w:r>
      <w:bookmarkEnd w:id="36"/>
    </w:p>
    <w:p w14:paraId="5133F067" w14:textId="77777777" w:rsidR="006174B2" w:rsidRDefault="00000000">
      <w:pPr>
        <w:widowControl/>
        <w:shd w:val="clear" w:color="auto" w:fill="FDFDFE"/>
        <w:spacing w:before="210" w:line="360" w:lineRule="auto"/>
        <w:ind w:firstLineChars="200" w:firstLine="480"/>
        <w:jc w:val="left"/>
        <w:rPr>
          <w:rFonts w:ascii="Segoe UI" w:eastAsia="宋体" w:hAnsi="Segoe UI" w:cs="Segoe UI"/>
          <w:kern w:val="0"/>
          <w:sz w:val="24"/>
          <w:szCs w:val="24"/>
        </w:rPr>
      </w:pPr>
      <w:r>
        <w:rPr>
          <w:rFonts w:ascii="宋体" w:eastAsia="宋体" w:hAnsi="宋体" w:cs="Segoe UI"/>
          <w:kern w:val="0"/>
          <w:sz w:val="24"/>
          <w:szCs w:val="24"/>
        </w:rPr>
        <w:lastRenderedPageBreak/>
        <w:t>在推进移动充电机器人和大型</w:t>
      </w:r>
      <w:r>
        <w:rPr>
          <w:rFonts w:ascii="宋体" w:eastAsia="宋体" w:hAnsi="宋体" w:cs="Segoe UI" w:hint="eastAsia"/>
          <w:kern w:val="0"/>
          <w:sz w:val="24"/>
          <w:szCs w:val="24"/>
        </w:rPr>
        <w:t>应急移动储能设备</w:t>
      </w:r>
      <w:r>
        <w:rPr>
          <w:rFonts w:ascii="宋体" w:eastAsia="宋体" w:hAnsi="宋体" w:cs="Segoe UI"/>
          <w:kern w:val="0"/>
          <w:sz w:val="24"/>
          <w:szCs w:val="24"/>
        </w:rPr>
        <w:t>项目的过程中，我们面临着多方面的风险。具体如下：</w:t>
      </w:r>
    </w:p>
    <w:p w14:paraId="509A8399" w14:textId="77777777" w:rsidR="006174B2" w:rsidRDefault="00000000">
      <w:pPr>
        <w:spacing w:beforeLines="50" w:before="156" w:afterLines="50" w:after="156"/>
        <w:outlineLvl w:val="2"/>
        <w:rPr>
          <w:rFonts w:ascii="黑体" w:eastAsia="黑体" w:hAnsi="黑体" w:cs="黑体"/>
          <w:sz w:val="24"/>
          <w:szCs w:val="24"/>
        </w:rPr>
      </w:pPr>
      <w:r>
        <w:rPr>
          <w:rFonts w:ascii="黑体" w:eastAsia="黑体" w:hAnsi="黑体" w:cs="黑体" w:hint="eastAsia"/>
          <w:sz w:val="24"/>
          <w:szCs w:val="24"/>
        </w:rPr>
        <w:t>1.运营风险：</w:t>
      </w:r>
    </w:p>
    <w:p w14:paraId="52B758CD" w14:textId="77777777" w:rsidR="006174B2" w:rsidRDefault="00000000">
      <w:pPr>
        <w:spacing w:line="360" w:lineRule="auto"/>
        <w:ind w:firstLineChars="200" w:firstLine="480"/>
        <w:rPr>
          <w:rFonts w:ascii="宋体" w:eastAsia="宋体" w:hAnsi="宋体"/>
          <w:sz w:val="24"/>
          <w:szCs w:val="24"/>
        </w:rPr>
      </w:pPr>
      <w:r>
        <w:rPr>
          <w:rFonts w:ascii="宋体" w:eastAsia="宋体" w:hAnsi="宋体" w:cs="宋体" w:hint="eastAsia"/>
          <w:sz w:val="24"/>
          <w:szCs w:val="24"/>
        </w:rPr>
        <w:t>①资产管理风险：</w:t>
      </w:r>
      <w:r>
        <w:rPr>
          <w:rFonts w:ascii="宋体" w:eastAsia="宋体" w:hAnsi="宋体" w:hint="eastAsia"/>
          <w:sz w:val="24"/>
          <w:szCs w:val="24"/>
        </w:rPr>
        <w:t>移动充电设施作为较为重要的资产，在日常的使用和停放中可能会存在被偷窃或者被损害的风险，导致直接的经济损失。同时损害的情况还会影响充电服务的正常使用，降低客户的满意程度。</w:t>
      </w:r>
    </w:p>
    <w:p w14:paraId="5ED6909B" w14:textId="77777777" w:rsidR="006174B2" w:rsidRDefault="00000000">
      <w:pPr>
        <w:spacing w:line="360" w:lineRule="auto"/>
        <w:ind w:firstLineChars="200" w:firstLine="480"/>
        <w:rPr>
          <w:rFonts w:ascii="宋体" w:eastAsia="宋体" w:hAnsi="宋体"/>
          <w:sz w:val="24"/>
          <w:szCs w:val="24"/>
        </w:rPr>
      </w:pPr>
      <w:r>
        <w:rPr>
          <w:rFonts w:ascii="宋体" w:eastAsia="宋体" w:hAnsi="宋体" w:cs="宋体" w:hint="eastAsia"/>
          <w:sz w:val="24"/>
          <w:szCs w:val="24"/>
        </w:rPr>
        <w:t>②维护和保养风险：</w:t>
      </w:r>
      <w:r>
        <w:rPr>
          <w:rFonts w:ascii="宋体" w:eastAsia="宋体" w:hAnsi="宋体" w:hint="eastAsia"/>
          <w:sz w:val="24"/>
          <w:szCs w:val="24"/>
        </w:rPr>
        <w:t>由于有时要应对较为极端的天气情况，在实际过程中容易存在因保养或维修不及时导致设备功能故障或效率降低的情况。进而影响供电的情况。</w:t>
      </w:r>
    </w:p>
    <w:p w14:paraId="687665DE" w14:textId="77777777" w:rsidR="006174B2" w:rsidRDefault="00000000">
      <w:pPr>
        <w:spacing w:beforeLines="50" w:before="156" w:afterLines="50" w:after="156"/>
        <w:outlineLvl w:val="2"/>
        <w:rPr>
          <w:rFonts w:ascii="黑体" w:eastAsia="黑体" w:hAnsi="黑体" w:cs="黑体"/>
          <w:sz w:val="24"/>
          <w:szCs w:val="24"/>
        </w:rPr>
      </w:pPr>
      <w:r>
        <w:rPr>
          <w:rFonts w:ascii="黑体" w:eastAsia="黑体" w:hAnsi="黑体" w:cs="黑体" w:hint="eastAsia"/>
          <w:sz w:val="24"/>
          <w:szCs w:val="24"/>
        </w:rPr>
        <w:t>2.市场风险：</w:t>
      </w:r>
    </w:p>
    <w:p w14:paraId="212EF481" w14:textId="77777777" w:rsidR="006174B2" w:rsidRDefault="00000000">
      <w:pPr>
        <w:spacing w:line="360" w:lineRule="auto"/>
        <w:ind w:firstLine="496"/>
        <w:rPr>
          <w:rFonts w:ascii="宋体" w:eastAsia="宋体" w:hAnsi="宋体"/>
          <w:sz w:val="24"/>
          <w:szCs w:val="24"/>
        </w:rPr>
      </w:pPr>
      <w:r>
        <w:rPr>
          <w:rFonts w:ascii="宋体" w:eastAsia="宋体" w:hAnsi="宋体" w:hint="eastAsia"/>
          <w:sz w:val="24"/>
          <w:szCs w:val="24"/>
        </w:rPr>
        <w:t>新能源汽车行业发展迅速，这也意味着有关于移动充电桩的市场竞争在未来会愈加剧烈。若产品定价不合理，或由于技术不成熟导致成本较高，将使得市场份额不足，影响产品盈利能力。</w:t>
      </w:r>
    </w:p>
    <w:p w14:paraId="2166C032" w14:textId="77777777" w:rsidR="006174B2" w:rsidRDefault="006174B2">
      <w:pPr>
        <w:spacing w:beforeLines="50" w:before="156" w:afterLines="50" w:after="156"/>
        <w:outlineLvl w:val="2"/>
        <w:rPr>
          <w:rFonts w:ascii="黑体" w:eastAsia="黑体" w:hAnsi="黑体" w:cs="黑体"/>
          <w:sz w:val="24"/>
          <w:szCs w:val="24"/>
          <w:shd w:val="clear" w:color="auto" w:fill="FDFDFE"/>
        </w:rPr>
      </w:pPr>
    </w:p>
    <w:p w14:paraId="7DE81501" w14:textId="77777777" w:rsidR="006174B2" w:rsidRDefault="00000000">
      <w:pPr>
        <w:spacing w:beforeLines="50" w:before="156" w:afterLines="50" w:after="156"/>
        <w:outlineLvl w:val="2"/>
        <w:rPr>
          <w:rFonts w:ascii="黑体" w:eastAsia="黑体" w:hAnsi="黑体" w:cs="黑体"/>
          <w:sz w:val="24"/>
          <w:szCs w:val="24"/>
        </w:rPr>
      </w:pPr>
      <w:r>
        <w:rPr>
          <w:rFonts w:ascii="黑体" w:eastAsia="黑体" w:hAnsi="黑体" w:cs="黑体" w:hint="eastAsia"/>
          <w:sz w:val="24"/>
          <w:szCs w:val="24"/>
          <w:shd w:val="clear" w:color="auto" w:fill="FDFDFE"/>
        </w:rPr>
        <w:t>3.政策风险：</w:t>
      </w:r>
    </w:p>
    <w:p w14:paraId="4B7AB535" w14:textId="77777777" w:rsidR="006174B2" w:rsidRDefault="00000000">
      <w:pPr>
        <w:spacing w:line="360" w:lineRule="auto"/>
        <w:ind w:firstLine="496"/>
        <w:rPr>
          <w:rFonts w:ascii="宋体" w:eastAsia="宋体" w:hAnsi="宋体"/>
          <w:sz w:val="24"/>
          <w:szCs w:val="24"/>
        </w:rPr>
      </w:pPr>
      <w:r>
        <w:rPr>
          <w:rFonts w:ascii="宋体" w:eastAsia="宋体" w:hAnsi="宋体" w:hint="eastAsia"/>
          <w:sz w:val="24"/>
          <w:szCs w:val="24"/>
          <w:shd w:val="clear" w:color="auto" w:fill="FDFDFE"/>
        </w:rPr>
        <w:t>相应</w:t>
      </w:r>
      <w:r>
        <w:rPr>
          <w:rFonts w:ascii="宋体" w:eastAsia="宋体" w:hAnsi="宋体" w:hint="eastAsia"/>
          <w:sz w:val="24"/>
          <w:szCs w:val="24"/>
        </w:rPr>
        <w:t>政策的变化对项目将会产生一定的影响，例如充电设施的进一步完善和规划将在一定程度上影响使用移动充电桩的人数。</w:t>
      </w:r>
    </w:p>
    <w:p w14:paraId="3D86972F" w14:textId="77777777" w:rsidR="006174B2" w:rsidRDefault="00000000">
      <w:pPr>
        <w:spacing w:beforeLines="50" w:before="156" w:afterLines="50" w:after="156"/>
        <w:outlineLvl w:val="2"/>
        <w:rPr>
          <w:rFonts w:ascii="黑体" w:eastAsia="黑体" w:hAnsi="黑体" w:cs="黑体"/>
          <w:sz w:val="24"/>
          <w:szCs w:val="24"/>
          <w:shd w:val="clear" w:color="auto" w:fill="FDFDFE"/>
        </w:rPr>
      </w:pPr>
      <w:r>
        <w:rPr>
          <w:rFonts w:ascii="黑体" w:eastAsia="黑体" w:hAnsi="黑体" w:cs="黑体" w:hint="eastAsia"/>
          <w:sz w:val="24"/>
          <w:szCs w:val="24"/>
          <w:shd w:val="clear" w:color="auto" w:fill="FDFDFE"/>
        </w:rPr>
        <w:t>4.财务风险：</w:t>
      </w:r>
    </w:p>
    <w:p w14:paraId="6F62B33F" w14:textId="77777777" w:rsidR="006174B2" w:rsidRDefault="00000000">
      <w:pPr>
        <w:spacing w:line="360" w:lineRule="auto"/>
        <w:ind w:firstLine="496"/>
        <w:rPr>
          <w:rFonts w:ascii="宋体" w:eastAsia="宋体" w:hAnsi="宋体"/>
          <w:sz w:val="24"/>
          <w:szCs w:val="24"/>
          <w:shd w:val="clear" w:color="auto" w:fill="FDFDFE"/>
        </w:rPr>
      </w:pPr>
      <w:r>
        <w:rPr>
          <w:rFonts w:ascii="宋体" w:eastAsia="宋体" w:hAnsi="宋体" w:hint="eastAsia"/>
          <w:sz w:val="24"/>
          <w:szCs w:val="24"/>
          <w:shd w:val="clear" w:color="auto" w:fill="FDFDFE"/>
        </w:rPr>
        <w:t>由于该项目将定时对移动充电设备进行维护和保养，这将产生不可避免的成本投入，同时因为极端天气和一些地区急需用电的情况存在不确定性，这有可能导致项目产生亏损或资金不足。</w:t>
      </w:r>
    </w:p>
    <w:p w14:paraId="38837B89" w14:textId="77777777" w:rsidR="006174B2" w:rsidRDefault="00000000">
      <w:pPr>
        <w:spacing w:beforeLines="50" w:before="156" w:afterLines="50" w:after="156"/>
        <w:outlineLvl w:val="2"/>
        <w:rPr>
          <w:rFonts w:ascii="黑体" w:eastAsia="黑体" w:hAnsi="黑体" w:cs="黑体"/>
          <w:sz w:val="24"/>
          <w:szCs w:val="24"/>
          <w:shd w:val="clear" w:color="auto" w:fill="FDFDFE"/>
        </w:rPr>
      </w:pPr>
      <w:r>
        <w:rPr>
          <w:rFonts w:ascii="黑体" w:eastAsia="黑体" w:hAnsi="黑体" w:cs="黑体" w:hint="eastAsia"/>
          <w:sz w:val="24"/>
          <w:szCs w:val="24"/>
          <w:shd w:val="clear" w:color="auto" w:fill="FDFDFE"/>
        </w:rPr>
        <w:t>5.技术风险：</w:t>
      </w:r>
    </w:p>
    <w:p w14:paraId="27271628" w14:textId="77777777" w:rsidR="006174B2" w:rsidRDefault="00000000">
      <w:pPr>
        <w:spacing w:line="360" w:lineRule="auto"/>
        <w:ind w:firstLineChars="200" w:firstLine="480"/>
        <w:rPr>
          <w:rFonts w:ascii="宋体" w:eastAsia="宋体" w:hAnsi="宋体"/>
          <w:sz w:val="24"/>
          <w:szCs w:val="24"/>
          <w:shd w:val="clear" w:color="auto" w:fill="FDFDFE"/>
        </w:rPr>
      </w:pPr>
      <w:r>
        <w:rPr>
          <w:rFonts w:ascii="宋体" w:eastAsia="宋体" w:hAnsi="宋体" w:cs="宋体" w:hint="eastAsia"/>
          <w:sz w:val="24"/>
          <w:szCs w:val="24"/>
          <w:shd w:val="clear" w:color="auto" w:fill="FDFDFE"/>
        </w:rPr>
        <w:t>①</w:t>
      </w:r>
      <w:r>
        <w:rPr>
          <w:rFonts w:ascii="宋体" w:eastAsia="宋体" w:hAnsi="宋体" w:hint="eastAsia"/>
          <w:sz w:val="24"/>
          <w:szCs w:val="24"/>
          <w:shd w:val="clear" w:color="auto" w:fill="FDFDFE"/>
        </w:rPr>
        <w:t>移动式供电设备涉及电力电子、电池管理、人工智能等多个领域的技术，技术难度相对较高。若技术研发进度缓慢或出现技术瓶颈，将影响项目的进展和产品的竞争力。</w:t>
      </w:r>
    </w:p>
    <w:p w14:paraId="2189B8C7" w14:textId="77777777" w:rsidR="006174B2" w:rsidRDefault="00000000">
      <w:pPr>
        <w:spacing w:line="360" w:lineRule="auto"/>
        <w:ind w:firstLineChars="200" w:firstLine="480"/>
        <w:rPr>
          <w:rFonts w:ascii="宋体" w:eastAsia="宋体" w:hAnsi="宋体"/>
          <w:sz w:val="24"/>
          <w:szCs w:val="24"/>
          <w:shd w:val="clear" w:color="auto" w:fill="FDFDFE"/>
        </w:rPr>
      </w:pPr>
      <w:r>
        <w:rPr>
          <w:rFonts w:ascii="宋体" w:eastAsia="宋体" w:hAnsi="宋体" w:cs="宋体" w:hint="eastAsia"/>
          <w:sz w:val="24"/>
          <w:szCs w:val="24"/>
          <w:shd w:val="clear" w:color="auto" w:fill="FDFDFE"/>
        </w:rPr>
        <w:t>②</w:t>
      </w:r>
      <w:r>
        <w:rPr>
          <w:rFonts w:ascii="宋体" w:eastAsia="宋体" w:hAnsi="宋体" w:hint="eastAsia"/>
          <w:sz w:val="24"/>
          <w:szCs w:val="24"/>
          <w:shd w:val="clear" w:color="auto" w:fill="FDFDFE"/>
        </w:rPr>
        <w:t>由于我公司技术核心之一的电池可能具有一定的不稳定性，例如在给受极端天气影响地区送电服务板块，锂离子电池在极端的天气和复杂地形下运输过程中可能会有损坏或者爆炸等问题，同时在给电动汽车充电的板块可能出现电池故障损害汽车等问题。</w:t>
      </w:r>
    </w:p>
    <w:p w14:paraId="3B825F45" w14:textId="77777777" w:rsidR="006174B2" w:rsidRDefault="00000000">
      <w:pPr>
        <w:spacing w:line="360" w:lineRule="auto"/>
        <w:ind w:firstLineChars="200" w:firstLine="480"/>
        <w:rPr>
          <w:rFonts w:ascii="宋体" w:eastAsia="宋体" w:hAnsi="宋体"/>
          <w:sz w:val="24"/>
          <w:szCs w:val="24"/>
          <w:shd w:val="clear" w:color="auto" w:fill="FDFDFE"/>
        </w:rPr>
      </w:pPr>
      <w:r>
        <w:rPr>
          <w:rFonts w:ascii="宋体" w:eastAsia="宋体" w:hAnsi="宋体" w:hint="eastAsia"/>
          <w:sz w:val="24"/>
          <w:szCs w:val="24"/>
          <w:shd w:val="clear" w:color="auto" w:fill="FDFDFE"/>
        </w:rPr>
        <w:t>这些问题让我们面临的可能是设备损坏损失以及向客户的赔偿等。</w:t>
      </w:r>
    </w:p>
    <w:p w14:paraId="138D9DA8" w14:textId="77777777" w:rsidR="006174B2" w:rsidRDefault="00000000">
      <w:pPr>
        <w:widowControl/>
        <w:shd w:val="clear" w:color="auto" w:fill="FDFDFE"/>
        <w:spacing w:beforeLines="50" w:before="156" w:afterLines="50" w:after="156"/>
        <w:jc w:val="left"/>
        <w:outlineLvl w:val="1"/>
        <w:rPr>
          <w:rFonts w:ascii="黑体" w:eastAsia="黑体" w:hAnsi="黑体" w:cs="黑体"/>
          <w:kern w:val="0"/>
          <w:sz w:val="28"/>
          <w:szCs w:val="28"/>
        </w:rPr>
      </w:pPr>
      <w:bookmarkStart w:id="37" w:name="_Toc29640"/>
      <w:r>
        <w:rPr>
          <w:rFonts w:ascii="黑体" w:eastAsia="黑体" w:hAnsi="黑体" w:cs="黑体" w:hint="eastAsia"/>
          <w:kern w:val="0"/>
          <w:sz w:val="28"/>
          <w:szCs w:val="28"/>
        </w:rPr>
        <w:lastRenderedPageBreak/>
        <w:t>7.2 应对措施</w:t>
      </w:r>
      <w:bookmarkEnd w:id="37"/>
    </w:p>
    <w:p w14:paraId="3AE5E35D" w14:textId="77777777" w:rsidR="006174B2" w:rsidRDefault="00000000">
      <w:pPr>
        <w:spacing w:line="360" w:lineRule="auto"/>
        <w:ind w:firstLineChars="200" w:firstLine="480"/>
        <w:rPr>
          <w:rFonts w:ascii="Segoe UI" w:eastAsia="宋体" w:hAnsi="Segoe UI" w:cs="Segoe UI"/>
          <w:kern w:val="0"/>
          <w:sz w:val="24"/>
          <w:szCs w:val="24"/>
        </w:rPr>
      </w:pPr>
      <w:r>
        <w:rPr>
          <w:rFonts w:ascii="宋体" w:eastAsia="宋体" w:hAnsi="宋体" w:cs="Segoe UI"/>
          <w:kern w:val="0"/>
          <w:sz w:val="24"/>
          <w:szCs w:val="24"/>
        </w:rPr>
        <w:t>针对上述风险，我们将采取以下应对措施：</w:t>
      </w:r>
    </w:p>
    <w:p w14:paraId="20503C81" w14:textId="77777777" w:rsidR="006174B2" w:rsidRDefault="00000000">
      <w:pPr>
        <w:spacing w:beforeLines="50" w:before="156" w:afterLines="50" w:after="156"/>
        <w:outlineLvl w:val="2"/>
        <w:rPr>
          <w:rFonts w:ascii="黑体" w:eastAsia="黑体" w:hAnsi="黑体" w:cs="黑体"/>
          <w:sz w:val="24"/>
          <w:szCs w:val="24"/>
        </w:rPr>
      </w:pPr>
      <w:r>
        <w:rPr>
          <w:rFonts w:ascii="黑体" w:eastAsia="黑体" w:hAnsi="黑体" w:cs="黑体" w:hint="eastAsia"/>
          <w:kern w:val="0"/>
          <w:sz w:val="24"/>
          <w:szCs w:val="24"/>
        </w:rPr>
        <w:t>1.</w:t>
      </w:r>
      <w:r>
        <w:rPr>
          <w:rFonts w:ascii="黑体" w:eastAsia="黑体" w:hAnsi="黑体" w:cs="黑体" w:hint="eastAsia"/>
          <w:sz w:val="24"/>
          <w:szCs w:val="24"/>
        </w:rPr>
        <w:t>资产管理风险应对措施：</w:t>
      </w:r>
    </w:p>
    <w:p w14:paraId="412DF2E9" w14:textId="77777777" w:rsidR="006174B2" w:rsidRDefault="00000000">
      <w:pPr>
        <w:spacing w:line="360" w:lineRule="auto"/>
        <w:ind w:firstLineChars="200" w:firstLine="480"/>
        <w:rPr>
          <w:rFonts w:ascii="宋体" w:eastAsia="宋体" w:hAnsi="宋体"/>
          <w:sz w:val="24"/>
          <w:szCs w:val="24"/>
        </w:rPr>
      </w:pPr>
      <w:r>
        <w:rPr>
          <w:rFonts w:ascii="宋体" w:eastAsia="宋体" w:hAnsi="宋体" w:hint="eastAsia"/>
          <w:sz w:val="24"/>
          <w:szCs w:val="24"/>
        </w:rPr>
        <w:t>采取适当的防盗措施。例如安装监控设备，让人工智能进行实时分析管控，设置报警系统，以防止偷窃或损害的情况。</w:t>
      </w:r>
    </w:p>
    <w:p w14:paraId="1ACCAA84" w14:textId="77777777" w:rsidR="006174B2" w:rsidRDefault="00000000">
      <w:pPr>
        <w:spacing w:beforeLines="50" w:before="156" w:afterLines="50" w:after="156"/>
        <w:outlineLvl w:val="2"/>
        <w:rPr>
          <w:rFonts w:ascii="黑体" w:eastAsia="黑体" w:hAnsi="黑体" w:cs="黑体"/>
          <w:sz w:val="24"/>
          <w:szCs w:val="24"/>
        </w:rPr>
      </w:pPr>
      <w:r>
        <w:rPr>
          <w:rFonts w:ascii="黑体" w:eastAsia="黑体" w:hAnsi="黑体" w:cs="黑体" w:hint="eastAsia"/>
          <w:sz w:val="24"/>
          <w:szCs w:val="24"/>
        </w:rPr>
        <w:t>2.维修和保养风险应对措施：</w:t>
      </w:r>
    </w:p>
    <w:p w14:paraId="38B64393" w14:textId="77777777" w:rsidR="006174B2" w:rsidRDefault="00000000">
      <w:pPr>
        <w:spacing w:line="360" w:lineRule="auto"/>
        <w:ind w:firstLine="496"/>
        <w:rPr>
          <w:rFonts w:ascii="宋体" w:eastAsia="宋体" w:hAnsi="宋体"/>
          <w:sz w:val="24"/>
          <w:szCs w:val="24"/>
        </w:rPr>
      </w:pPr>
      <w:r>
        <w:rPr>
          <w:rFonts w:ascii="宋体" w:eastAsia="宋体" w:hAnsi="宋体" w:hint="eastAsia"/>
          <w:sz w:val="24"/>
          <w:szCs w:val="24"/>
        </w:rPr>
        <w:t>设置固定的检查周期，如每周或每月对移动供电设备进行检查，在极端天气下进行供电后及时检查相应设备。同时做好相应的防潮和防水措施。</w:t>
      </w:r>
    </w:p>
    <w:p w14:paraId="434B2C07" w14:textId="77777777" w:rsidR="006174B2" w:rsidRDefault="00000000">
      <w:pPr>
        <w:spacing w:beforeLines="50" w:before="156" w:afterLines="50" w:after="156"/>
        <w:outlineLvl w:val="2"/>
        <w:rPr>
          <w:rFonts w:ascii="黑体" w:eastAsia="黑体" w:hAnsi="黑体" w:cs="黑体"/>
          <w:sz w:val="24"/>
          <w:szCs w:val="24"/>
        </w:rPr>
      </w:pPr>
      <w:r>
        <w:rPr>
          <w:rFonts w:ascii="黑体" w:eastAsia="黑体" w:hAnsi="黑体" w:cs="黑体" w:hint="eastAsia"/>
          <w:sz w:val="24"/>
          <w:szCs w:val="24"/>
        </w:rPr>
        <w:t>3.市场风险应对措施：</w:t>
      </w:r>
    </w:p>
    <w:p w14:paraId="35E4E947" w14:textId="77777777" w:rsidR="006174B2" w:rsidRDefault="00000000">
      <w:pPr>
        <w:spacing w:line="360" w:lineRule="auto"/>
        <w:ind w:firstLine="496"/>
        <w:rPr>
          <w:rFonts w:ascii="宋体" w:eastAsia="宋体" w:hAnsi="宋体"/>
          <w:sz w:val="24"/>
          <w:szCs w:val="24"/>
          <w:shd w:val="clear" w:color="auto" w:fill="FDFDFE"/>
        </w:rPr>
      </w:pPr>
      <w:r>
        <w:rPr>
          <w:rFonts w:ascii="宋体" w:eastAsia="宋体" w:hAnsi="宋体" w:hint="eastAsia"/>
          <w:sz w:val="24"/>
          <w:szCs w:val="24"/>
          <w:shd w:val="clear" w:color="auto" w:fill="FDFDFE"/>
        </w:rPr>
        <w:t>密切关注市场动态，及时调整市场策略，并且加强市场调研和用户需求分析，以此优化产品设计和完善定价策略；拓展销售渠道和合作伙伴，提高市场占有率。积极关注政策变化，根据政策的变化做出项目上的调整，例如改变项目侧重点，研究新的业务等。</w:t>
      </w:r>
    </w:p>
    <w:p w14:paraId="29D60F61" w14:textId="77777777" w:rsidR="006174B2" w:rsidRDefault="00000000">
      <w:pPr>
        <w:spacing w:beforeLines="50" w:before="156" w:afterLines="50" w:after="156"/>
        <w:outlineLvl w:val="2"/>
        <w:rPr>
          <w:rFonts w:ascii="黑体" w:eastAsia="黑体" w:hAnsi="黑体" w:cs="黑体"/>
          <w:sz w:val="24"/>
          <w:szCs w:val="24"/>
        </w:rPr>
      </w:pPr>
      <w:r>
        <w:rPr>
          <w:rFonts w:ascii="黑体" w:eastAsia="黑体" w:hAnsi="黑体" w:cs="黑体" w:hint="eastAsia"/>
          <w:sz w:val="24"/>
          <w:szCs w:val="24"/>
        </w:rPr>
        <w:t>4.政策风险应对措施：</w:t>
      </w:r>
    </w:p>
    <w:p w14:paraId="1418B3C3" w14:textId="77777777" w:rsidR="006174B2" w:rsidRDefault="00000000">
      <w:pPr>
        <w:spacing w:line="360" w:lineRule="auto"/>
        <w:ind w:firstLine="496"/>
        <w:rPr>
          <w:rFonts w:ascii="宋体" w:eastAsia="宋体" w:hAnsi="宋体"/>
          <w:sz w:val="24"/>
          <w:szCs w:val="24"/>
        </w:rPr>
      </w:pPr>
      <w:r>
        <w:rPr>
          <w:rFonts w:ascii="宋体" w:eastAsia="宋体" w:hAnsi="宋体" w:hint="eastAsia"/>
          <w:sz w:val="24"/>
          <w:szCs w:val="24"/>
        </w:rPr>
        <w:t>积极关注政策变化，根据政策变化做出项目上的调整，例如改变项目的侧重点，研发新的业务等。</w:t>
      </w:r>
    </w:p>
    <w:p w14:paraId="12B50A2C" w14:textId="77777777" w:rsidR="006174B2" w:rsidRDefault="00000000">
      <w:pPr>
        <w:spacing w:beforeLines="50" w:before="156" w:afterLines="50" w:after="156"/>
        <w:outlineLvl w:val="2"/>
        <w:rPr>
          <w:rFonts w:ascii="黑体" w:eastAsia="黑体" w:hAnsi="黑体" w:cs="黑体"/>
          <w:sz w:val="24"/>
          <w:szCs w:val="24"/>
          <w:shd w:val="clear" w:color="auto" w:fill="FDFDFE"/>
        </w:rPr>
      </w:pPr>
      <w:r>
        <w:rPr>
          <w:rFonts w:ascii="黑体" w:eastAsia="黑体" w:hAnsi="黑体" w:cs="黑体" w:hint="eastAsia"/>
          <w:sz w:val="24"/>
          <w:szCs w:val="24"/>
          <w:shd w:val="clear" w:color="auto" w:fill="FDFDFE"/>
        </w:rPr>
        <w:t>5.财务风险应对措施：</w:t>
      </w:r>
    </w:p>
    <w:p w14:paraId="4653F4A7" w14:textId="77777777" w:rsidR="006174B2" w:rsidRDefault="00000000">
      <w:pPr>
        <w:spacing w:line="360" w:lineRule="auto"/>
        <w:ind w:firstLine="496"/>
        <w:rPr>
          <w:rFonts w:ascii="宋体" w:eastAsia="宋体" w:hAnsi="宋体"/>
          <w:sz w:val="24"/>
          <w:szCs w:val="24"/>
          <w:shd w:val="clear" w:color="auto" w:fill="FDFDFE"/>
        </w:rPr>
      </w:pPr>
      <w:r>
        <w:rPr>
          <w:rFonts w:ascii="宋体" w:eastAsia="宋体" w:hAnsi="宋体" w:hint="eastAsia"/>
          <w:sz w:val="24"/>
          <w:szCs w:val="24"/>
          <w:shd w:val="clear" w:color="auto" w:fill="FDFDFE"/>
        </w:rPr>
        <w:t>与一些企业和地区签订相应合同，在合同规定的年份以更优惠的价格对其进行优先供电。</w:t>
      </w:r>
    </w:p>
    <w:p w14:paraId="1DDD8D20" w14:textId="77777777" w:rsidR="006174B2" w:rsidRDefault="00000000">
      <w:pPr>
        <w:spacing w:beforeLines="50" w:before="156" w:afterLines="50" w:after="156"/>
        <w:outlineLvl w:val="2"/>
        <w:rPr>
          <w:rFonts w:ascii="黑体" w:eastAsia="黑体" w:hAnsi="黑体" w:cs="黑体"/>
          <w:sz w:val="24"/>
          <w:szCs w:val="24"/>
          <w:shd w:val="clear" w:color="auto" w:fill="FDFDFE"/>
        </w:rPr>
      </w:pPr>
      <w:r>
        <w:rPr>
          <w:rFonts w:ascii="黑体" w:eastAsia="黑体" w:hAnsi="黑体" w:cs="黑体" w:hint="eastAsia"/>
          <w:sz w:val="24"/>
          <w:szCs w:val="24"/>
          <w:shd w:val="clear" w:color="auto" w:fill="FDFDFE"/>
        </w:rPr>
        <w:t>6.技术风险应对措施:</w:t>
      </w:r>
    </w:p>
    <w:p w14:paraId="577BD206" w14:textId="77777777" w:rsidR="006174B2" w:rsidRDefault="00000000">
      <w:pPr>
        <w:spacing w:line="360" w:lineRule="auto"/>
        <w:ind w:firstLine="496"/>
        <w:rPr>
          <w:rFonts w:ascii="宋体" w:eastAsia="宋体" w:hAnsi="宋体"/>
          <w:sz w:val="24"/>
          <w:szCs w:val="24"/>
          <w:shd w:val="clear" w:color="auto" w:fill="FDFDFE"/>
        </w:rPr>
      </w:pPr>
      <w:r>
        <w:rPr>
          <w:rFonts w:ascii="宋体" w:eastAsia="宋体" w:hAnsi="宋体" w:cs="宋体" w:hint="eastAsia"/>
          <w:sz w:val="24"/>
          <w:szCs w:val="24"/>
          <w:shd w:val="clear" w:color="auto" w:fill="FDFDFE"/>
        </w:rPr>
        <w:t>①</w:t>
      </w:r>
      <w:r>
        <w:rPr>
          <w:rFonts w:ascii="宋体" w:eastAsia="宋体" w:hAnsi="宋体" w:hint="eastAsia"/>
          <w:sz w:val="24"/>
          <w:szCs w:val="24"/>
          <w:shd w:val="clear" w:color="auto" w:fill="FDFDFE"/>
        </w:rPr>
        <w:t>加强与高校和相应电气机构的合作，以提高研发能力；引进先进的技术；以确保移动供电设施的产品性能和安全性，提高市场竞争能力。</w:t>
      </w:r>
    </w:p>
    <w:p w14:paraId="4435225F" w14:textId="77777777" w:rsidR="006174B2" w:rsidRDefault="00000000">
      <w:pPr>
        <w:spacing w:line="360" w:lineRule="auto"/>
        <w:ind w:firstLine="496"/>
        <w:rPr>
          <w:rFonts w:ascii="宋体" w:eastAsia="宋体" w:hAnsi="宋体"/>
          <w:sz w:val="24"/>
          <w:szCs w:val="24"/>
          <w:shd w:val="clear" w:color="auto" w:fill="FDFDFE"/>
        </w:rPr>
      </w:pPr>
      <w:r>
        <w:rPr>
          <w:rFonts w:ascii="宋体" w:eastAsia="宋体" w:hAnsi="宋体" w:cs="宋体" w:hint="eastAsia"/>
          <w:sz w:val="24"/>
          <w:szCs w:val="24"/>
          <w:shd w:val="clear" w:color="auto" w:fill="FDFDFE"/>
        </w:rPr>
        <w:t>②</w:t>
      </w:r>
      <w:r>
        <w:rPr>
          <w:rFonts w:ascii="宋体" w:eastAsia="宋体" w:hAnsi="宋体" w:hint="eastAsia"/>
          <w:sz w:val="24"/>
          <w:szCs w:val="24"/>
          <w:shd w:val="clear" w:color="auto" w:fill="FDFDFE"/>
        </w:rPr>
        <w:t>保险购置：通过向平安保险等保险公司购买相关保险，来应对电池意外损坏损失，充电装置故障导致客户财产受损需要我司给予赔偿等问题。</w:t>
      </w:r>
    </w:p>
    <w:p w14:paraId="45746975" w14:textId="77777777" w:rsidR="006174B2" w:rsidRDefault="00000000">
      <w:pPr>
        <w:spacing w:line="360" w:lineRule="auto"/>
        <w:ind w:firstLineChars="200" w:firstLine="480"/>
        <w:rPr>
          <w:rFonts w:ascii="Segoe UI" w:eastAsia="宋体" w:hAnsi="Segoe UI" w:cs="Segoe UI"/>
          <w:kern w:val="0"/>
          <w:sz w:val="24"/>
          <w:szCs w:val="24"/>
        </w:rPr>
      </w:pPr>
      <w:r>
        <w:rPr>
          <w:rFonts w:ascii="宋体" w:eastAsia="宋体" w:hAnsi="宋体" w:cs="Segoe UI"/>
          <w:kern w:val="0"/>
          <w:sz w:val="24"/>
          <w:szCs w:val="24"/>
        </w:rPr>
        <w:t>综上所述，我们将针对各类风险制定具体的应对措施，确保项目的顺利进行和高效运营。同时，我们将密切关注市场动态和用户需求变化，不断优化产品和服务，提高市场竞争力。</w:t>
      </w:r>
    </w:p>
    <w:p w14:paraId="1DFE8A44" w14:textId="77777777" w:rsidR="006174B2" w:rsidRDefault="00000000">
      <w:pPr>
        <w:spacing w:beforeLines="50" w:before="156" w:afterLines="50" w:after="156"/>
        <w:ind w:firstLine="656"/>
        <w:jc w:val="center"/>
        <w:outlineLvl w:val="0"/>
        <w:rPr>
          <w:rFonts w:ascii="黑体" w:eastAsia="黑体" w:hAnsi="黑体" w:cs="黑体"/>
          <w:kern w:val="0"/>
          <w:sz w:val="32"/>
          <w:szCs w:val="32"/>
        </w:rPr>
      </w:pPr>
      <w:bookmarkStart w:id="38" w:name="_Toc24779"/>
      <w:r>
        <w:rPr>
          <w:rFonts w:ascii="黑体" w:eastAsia="黑体" w:hAnsi="黑体" w:cs="黑体" w:hint="eastAsia"/>
          <w:kern w:val="0"/>
          <w:sz w:val="32"/>
          <w:szCs w:val="32"/>
        </w:rPr>
        <w:lastRenderedPageBreak/>
        <w:t>八、发展规划与里程碑</w:t>
      </w:r>
      <w:bookmarkEnd w:id="38"/>
    </w:p>
    <w:p w14:paraId="490B2799" w14:textId="77777777" w:rsidR="006174B2" w:rsidRDefault="00000000">
      <w:pPr>
        <w:widowControl/>
        <w:shd w:val="clear" w:color="auto" w:fill="FDFDFE"/>
        <w:spacing w:beforeLines="50" w:before="156" w:afterLines="50" w:after="156"/>
        <w:ind w:left="560" w:hangingChars="200" w:hanging="560"/>
        <w:outlineLvl w:val="1"/>
        <w:rPr>
          <w:rFonts w:ascii="黑体" w:eastAsia="黑体" w:hAnsi="黑体" w:cs="黑体"/>
          <w:kern w:val="0"/>
          <w:sz w:val="28"/>
          <w:szCs w:val="28"/>
        </w:rPr>
      </w:pPr>
      <w:bookmarkStart w:id="39" w:name="_Toc23832"/>
      <w:r>
        <w:rPr>
          <w:rFonts w:ascii="黑体" w:eastAsia="黑体" w:hAnsi="黑体" w:cs="黑体" w:hint="eastAsia"/>
          <w:kern w:val="0"/>
          <w:sz w:val="28"/>
          <w:szCs w:val="28"/>
        </w:rPr>
        <w:t>8.1 发展规划</w:t>
      </w:r>
      <w:bookmarkEnd w:id="39"/>
    </w:p>
    <w:p w14:paraId="4BFAEAB4" w14:textId="77777777" w:rsidR="006174B2" w:rsidRDefault="00000000">
      <w:pPr>
        <w:widowControl/>
        <w:shd w:val="clear" w:color="auto" w:fill="FDFDFE"/>
        <w:spacing w:line="360" w:lineRule="auto"/>
        <w:ind w:firstLineChars="200" w:firstLine="480"/>
        <w:rPr>
          <w:rFonts w:ascii="Segoe UI" w:eastAsia="宋体" w:hAnsi="Segoe UI" w:cs="Segoe UI"/>
          <w:kern w:val="0"/>
          <w:sz w:val="24"/>
          <w:szCs w:val="24"/>
        </w:rPr>
      </w:pPr>
      <w:r>
        <w:rPr>
          <w:rFonts w:ascii="宋体" w:eastAsia="宋体" w:hAnsi="宋体" w:cs="Segoe UI"/>
          <w:kern w:val="0"/>
          <w:sz w:val="24"/>
          <w:szCs w:val="24"/>
        </w:rPr>
        <w:t>我司在充电机器人和大型</w:t>
      </w:r>
      <w:r>
        <w:rPr>
          <w:rFonts w:ascii="宋体" w:eastAsia="宋体" w:hAnsi="宋体" w:cs="Segoe UI" w:hint="eastAsia"/>
          <w:kern w:val="0"/>
          <w:sz w:val="24"/>
          <w:szCs w:val="24"/>
        </w:rPr>
        <w:t>应急移动储能设备</w:t>
      </w:r>
      <w:r>
        <w:rPr>
          <w:rFonts w:ascii="宋体" w:eastAsia="宋体" w:hAnsi="宋体" w:cs="Segoe UI"/>
          <w:kern w:val="0"/>
          <w:sz w:val="24"/>
          <w:szCs w:val="24"/>
        </w:rPr>
        <w:t>领域有着宏大的发展规划，以下是具体的</w:t>
      </w:r>
      <w:r>
        <w:rPr>
          <w:rFonts w:ascii="宋体" w:eastAsia="宋体" w:hAnsi="宋体" w:cs="Segoe UI" w:hint="eastAsia"/>
          <w:kern w:val="0"/>
          <w:sz w:val="24"/>
          <w:szCs w:val="24"/>
        </w:rPr>
        <w:t>目</w:t>
      </w:r>
      <w:r>
        <w:rPr>
          <w:rFonts w:ascii="宋体" w:eastAsia="宋体" w:hAnsi="宋体" w:cs="Segoe UI"/>
          <w:kern w:val="0"/>
          <w:sz w:val="24"/>
          <w:szCs w:val="24"/>
        </w:rPr>
        <w:t>标：</w:t>
      </w:r>
    </w:p>
    <w:p w14:paraId="740AD839" w14:textId="77777777" w:rsidR="006174B2" w:rsidRDefault="00000000">
      <w:pPr>
        <w:widowControl/>
        <w:shd w:val="clear" w:color="auto" w:fill="FDFDFE"/>
        <w:spacing w:beforeLines="50" w:before="156" w:afterLines="50" w:after="156"/>
        <w:jc w:val="left"/>
        <w:outlineLvl w:val="2"/>
        <w:rPr>
          <w:rFonts w:ascii="黑体" w:eastAsia="黑体" w:hAnsi="黑体" w:cs="黑体"/>
          <w:kern w:val="0"/>
          <w:sz w:val="24"/>
          <w:szCs w:val="24"/>
        </w:rPr>
      </w:pPr>
      <w:r>
        <w:rPr>
          <w:rFonts w:ascii="黑体" w:eastAsia="黑体" w:hAnsi="黑体" w:cs="黑体" w:hint="eastAsia"/>
          <w:kern w:val="0"/>
          <w:sz w:val="24"/>
          <w:szCs w:val="24"/>
        </w:rPr>
        <w:t>1.短期目标（1-2年）：</w:t>
      </w:r>
    </w:p>
    <w:p w14:paraId="5F1604EE" w14:textId="77777777" w:rsidR="006174B2" w:rsidRDefault="00000000">
      <w:pPr>
        <w:widowControl/>
        <w:shd w:val="clear" w:color="auto" w:fill="FDFDFE"/>
        <w:spacing w:line="360" w:lineRule="auto"/>
        <w:ind w:firstLineChars="200" w:firstLine="480"/>
        <w:jc w:val="left"/>
        <w:rPr>
          <w:rFonts w:ascii="Times New Roman" w:eastAsia="宋体" w:hAnsi="Times New Roman" w:cs="Segoe UI"/>
          <w:kern w:val="0"/>
          <w:sz w:val="24"/>
          <w:szCs w:val="24"/>
        </w:rPr>
      </w:pPr>
      <w:r>
        <w:rPr>
          <w:rFonts w:ascii="宋体" w:eastAsia="宋体" w:hAnsi="宋体" w:cs="宋体" w:hint="eastAsia"/>
          <w:kern w:val="0"/>
          <w:sz w:val="24"/>
          <w:szCs w:val="24"/>
        </w:rPr>
        <w:t>①</w:t>
      </w:r>
      <w:r>
        <w:rPr>
          <w:rFonts w:ascii="Times New Roman" w:eastAsia="宋体" w:hAnsi="Times New Roman" w:cs="Segoe UI"/>
          <w:kern w:val="0"/>
          <w:sz w:val="24"/>
          <w:szCs w:val="24"/>
        </w:rPr>
        <w:t>完成充电机器人与大型</w:t>
      </w:r>
      <w:r>
        <w:rPr>
          <w:rFonts w:ascii="Times New Roman" w:eastAsia="宋体" w:hAnsi="Times New Roman" w:cs="Segoe UI" w:hint="eastAsia"/>
          <w:kern w:val="0"/>
          <w:sz w:val="24"/>
          <w:szCs w:val="24"/>
        </w:rPr>
        <w:t>应急移动储能设备</w:t>
      </w:r>
      <w:r>
        <w:rPr>
          <w:rFonts w:ascii="Times New Roman" w:eastAsia="宋体" w:hAnsi="Times New Roman" w:cs="Segoe UI"/>
          <w:kern w:val="0"/>
          <w:sz w:val="24"/>
          <w:szCs w:val="24"/>
        </w:rPr>
        <w:t>的全面产品研发，并启动至少</w:t>
      </w:r>
      <w:r>
        <w:rPr>
          <w:rFonts w:ascii="Times New Roman" w:eastAsia="宋体" w:hAnsi="Times New Roman" w:cs="Segoe UI"/>
          <w:kern w:val="0"/>
          <w:sz w:val="24"/>
          <w:szCs w:val="24"/>
        </w:rPr>
        <w:t>10</w:t>
      </w:r>
      <w:r>
        <w:rPr>
          <w:rFonts w:ascii="Times New Roman" w:eastAsia="宋体" w:hAnsi="Times New Roman" w:cs="Segoe UI"/>
          <w:kern w:val="0"/>
          <w:sz w:val="24"/>
          <w:szCs w:val="24"/>
        </w:rPr>
        <w:t>个主要城市的试点运营项目。</w:t>
      </w:r>
    </w:p>
    <w:p w14:paraId="6AC812F9" w14:textId="77777777" w:rsidR="006174B2" w:rsidRDefault="00000000">
      <w:pPr>
        <w:widowControl/>
        <w:shd w:val="clear" w:color="auto" w:fill="FDFDFE"/>
        <w:spacing w:before="30" w:line="360" w:lineRule="auto"/>
        <w:ind w:firstLineChars="200" w:firstLine="480"/>
        <w:jc w:val="left"/>
        <w:rPr>
          <w:rFonts w:ascii="Times New Roman" w:eastAsia="宋体" w:hAnsi="Times New Roman" w:cs="Segoe UI"/>
          <w:kern w:val="0"/>
          <w:sz w:val="24"/>
          <w:szCs w:val="24"/>
        </w:rPr>
      </w:pPr>
      <w:r>
        <w:rPr>
          <w:rFonts w:ascii="宋体" w:eastAsia="宋体" w:hAnsi="宋体" w:cs="宋体" w:hint="eastAsia"/>
          <w:kern w:val="0"/>
          <w:sz w:val="24"/>
          <w:szCs w:val="24"/>
        </w:rPr>
        <w:t>②</w:t>
      </w:r>
      <w:r>
        <w:rPr>
          <w:rFonts w:ascii="Times New Roman" w:eastAsia="宋体" w:hAnsi="Times New Roman" w:cs="Segoe UI"/>
          <w:kern w:val="0"/>
          <w:sz w:val="24"/>
          <w:szCs w:val="24"/>
        </w:rPr>
        <w:t>在试点运营期间，实现至少</w:t>
      </w:r>
      <w:r>
        <w:rPr>
          <w:rFonts w:ascii="Times New Roman" w:eastAsia="宋体" w:hAnsi="Times New Roman" w:cs="Segoe UI"/>
          <w:kern w:val="0"/>
          <w:sz w:val="24"/>
          <w:szCs w:val="24"/>
        </w:rPr>
        <w:t>1000</w:t>
      </w:r>
      <w:r>
        <w:rPr>
          <w:rFonts w:ascii="Times New Roman" w:eastAsia="宋体" w:hAnsi="Times New Roman" w:cs="Segoe UI"/>
          <w:kern w:val="0"/>
          <w:sz w:val="24"/>
          <w:szCs w:val="24"/>
        </w:rPr>
        <w:t>台充电机器人的部署，服务于不少于</w:t>
      </w:r>
      <w:r>
        <w:rPr>
          <w:rFonts w:ascii="Times New Roman" w:eastAsia="宋体" w:hAnsi="Times New Roman" w:cs="Segoe UI"/>
          <w:kern w:val="0"/>
          <w:sz w:val="24"/>
          <w:szCs w:val="24"/>
        </w:rPr>
        <w:t>10</w:t>
      </w:r>
      <w:r>
        <w:rPr>
          <w:rFonts w:ascii="Times New Roman" w:eastAsia="宋体" w:hAnsi="Times New Roman" w:cs="Segoe UI"/>
          <w:kern w:val="0"/>
          <w:sz w:val="24"/>
          <w:szCs w:val="24"/>
        </w:rPr>
        <w:t>万名用户，确保技术与市场的深度融合。</w:t>
      </w:r>
    </w:p>
    <w:p w14:paraId="188CC59B" w14:textId="77777777" w:rsidR="006174B2" w:rsidRDefault="00000000">
      <w:pPr>
        <w:widowControl/>
        <w:shd w:val="clear" w:color="auto" w:fill="FDFDFE"/>
        <w:spacing w:before="30" w:line="360" w:lineRule="auto"/>
        <w:ind w:firstLineChars="200" w:firstLine="480"/>
        <w:jc w:val="left"/>
        <w:rPr>
          <w:rFonts w:ascii="Times New Roman" w:eastAsia="宋体" w:hAnsi="Times New Roman" w:cs="Segoe UI"/>
          <w:kern w:val="0"/>
          <w:sz w:val="24"/>
          <w:szCs w:val="24"/>
        </w:rPr>
      </w:pPr>
      <w:r>
        <w:rPr>
          <w:rFonts w:ascii="宋体" w:eastAsia="宋体" w:hAnsi="宋体" w:cs="宋体" w:hint="eastAsia"/>
          <w:kern w:val="0"/>
          <w:sz w:val="24"/>
          <w:szCs w:val="24"/>
        </w:rPr>
        <w:t>③</w:t>
      </w:r>
      <w:r>
        <w:rPr>
          <w:rFonts w:ascii="Times New Roman" w:eastAsia="宋体" w:hAnsi="Times New Roman" w:cs="Segoe UI"/>
          <w:kern w:val="0"/>
          <w:sz w:val="24"/>
          <w:szCs w:val="24"/>
        </w:rPr>
        <w:t>品牌知名度大幅提升，通过多渠道市场推广，达到行业内前</w:t>
      </w:r>
      <w:r>
        <w:rPr>
          <w:rFonts w:ascii="Times New Roman" w:eastAsia="宋体" w:hAnsi="Times New Roman" w:cs="Segoe UI"/>
          <w:kern w:val="0"/>
          <w:sz w:val="24"/>
          <w:szCs w:val="24"/>
        </w:rPr>
        <w:t>3%</w:t>
      </w:r>
      <w:r>
        <w:rPr>
          <w:rFonts w:ascii="Times New Roman" w:eastAsia="宋体" w:hAnsi="Times New Roman" w:cs="Segoe UI"/>
          <w:kern w:val="0"/>
          <w:sz w:val="24"/>
          <w:szCs w:val="24"/>
        </w:rPr>
        <w:t>的知名度。</w:t>
      </w:r>
    </w:p>
    <w:p w14:paraId="6B859B8E" w14:textId="77777777" w:rsidR="006174B2" w:rsidRDefault="00000000">
      <w:pPr>
        <w:widowControl/>
        <w:shd w:val="clear" w:color="auto" w:fill="FDFDFE"/>
        <w:spacing w:beforeLines="50" w:before="156" w:afterLines="50" w:after="156"/>
        <w:jc w:val="left"/>
        <w:outlineLvl w:val="2"/>
        <w:rPr>
          <w:rFonts w:ascii="黑体" w:eastAsia="黑体" w:hAnsi="黑体" w:cs="黑体"/>
          <w:kern w:val="0"/>
          <w:sz w:val="24"/>
          <w:szCs w:val="24"/>
        </w:rPr>
      </w:pPr>
      <w:r>
        <w:rPr>
          <w:rFonts w:ascii="黑体" w:eastAsia="黑体" w:hAnsi="黑体" w:cs="黑体" w:hint="eastAsia"/>
          <w:kern w:val="0"/>
          <w:sz w:val="24"/>
          <w:szCs w:val="24"/>
        </w:rPr>
        <w:t>2.中期目标（3-5年）：</w:t>
      </w:r>
    </w:p>
    <w:p w14:paraId="7FAD8507" w14:textId="77777777" w:rsidR="006174B2" w:rsidRDefault="00000000">
      <w:pPr>
        <w:widowControl/>
        <w:shd w:val="clear" w:color="auto" w:fill="FDFDFE"/>
        <w:spacing w:line="360" w:lineRule="auto"/>
        <w:ind w:firstLineChars="200" w:firstLine="480"/>
        <w:jc w:val="left"/>
        <w:rPr>
          <w:rFonts w:ascii="Times New Roman" w:eastAsia="宋体" w:hAnsi="Times New Roman" w:cs="Segoe UI"/>
          <w:kern w:val="0"/>
          <w:sz w:val="24"/>
          <w:szCs w:val="24"/>
        </w:rPr>
      </w:pPr>
      <w:r>
        <w:rPr>
          <w:rFonts w:ascii="宋体" w:eastAsia="宋体" w:hAnsi="宋体" w:cs="宋体" w:hint="eastAsia"/>
          <w:kern w:val="0"/>
          <w:sz w:val="24"/>
          <w:szCs w:val="24"/>
        </w:rPr>
        <w:t>①</w:t>
      </w:r>
      <w:r>
        <w:rPr>
          <w:rFonts w:ascii="Times New Roman" w:eastAsia="宋体" w:hAnsi="Times New Roman" w:cs="Segoe UI"/>
          <w:kern w:val="0"/>
          <w:sz w:val="24"/>
          <w:szCs w:val="24"/>
        </w:rPr>
        <w:t>机器人规模急剧扩张，达到至少</w:t>
      </w:r>
      <w:r>
        <w:rPr>
          <w:rFonts w:ascii="Times New Roman" w:eastAsia="宋体" w:hAnsi="Times New Roman" w:cs="Segoe UI"/>
          <w:kern w:val="0"/>
          <w:sz w:val="24"/>
          <w:szCs w:val="24"/>
        </w:rPr>
        <w:t>1</w:t>
      </w:r>
      <w:r>
        <w:rPr>
          <w:rFonts w:ascii="Times New Roman" w:eastAsia="宋体" w:hAnsi="Times New Roman" w:cs="Segoe UI"/>
          <w:kern w:val="0"/>
          <w:sz w:val="24"/>
          <w:szCs w:val="24"/>
        </w:rPr>
        <w:t>万台，覆盖全国</w:t>
      </w:r>
      <w:r>
        <w:rPr>
          <w:rFonts w:ascii="Times New Roman" w:eastAsia="宋体" w:hAnsi="Times New Roman" w:cs="Segoe UI"/>
          <w:kern w:val="0"/>
          <w:sz w:val="24"/>
          <w:szCs w:val="24"/>
        </w:rPr>
        <w:t>50</w:t>
      </w:r>
      <w:r>
        <w:rPr>
          <w:rFonts w:ascii="Times New Roman" w:eastAsia="宋体" w:hAnsi="Times New Roman" w:cs="Segoe UI"/>
          <w:kern w:val="0"/>
          <w:sz w:val="24"/>
          <w:szCs w:val="24"/>
        </w:rPr>
        <w:t>个主要城市，占据移动充电服务市场至少</w:t>
      </w:r>
      <w:r>
        <w:rPr>
          <w:rFonts w:ascii="Times New Roman" w:eastAsia="宋体" w:hAnsi="Times New Roman" w:cs="Segoe UI"/>
          <w:kern w:val="0"/>
          <w:sz w:val="24"/>
          <w:szCs w:val="24"/>
        </w:rPr>
        <w:t>30%</w:t>
      </w:r>
      <w:r>
        <w:rPr>
          <w:rFonts w:ascii="Times New Roman" w:eastAsia="宋体" w:hAnsi="Times New Roman" w:cs="Segoe UI"/>
          <w:kern w:val="0"/>
          <w:sz w:val="24"/>
          <w:szCs w:val="24"/>
        </w:rPr>
        <w:t>的份额。</w:t>
      </w:r>
    </w:p>
    <w:p w14:paraId="3ED553DB" w14:textId="77777777" w:rsidR="006174B2" w:rsidRDefault="00000000">
      <w:pPr>
        <w:widowControl/>
        <w:shd w:val="clear" w:color="auto" w:fill="FDFDFE"/>
        <w:spacing w:before="30" w:line="360" w:lineRule="auto"/>
        <w:ind w:firstLineChars="200" w:firstLine="480"/>
        <w:jc w:val="left"/>
        <w:rPr>
          <w:rFonts w:ascii="Times New Roman" w:eastAsia="宋体" w:hAnsi="Times New Roman" w:cs="Segoe UI"/>
          <w:kern w:val="0"/>
          <w:sz w:val="24"/>
          <w:szCs w:val="24"/>
        </w:rPr>
      </w:pPr>
      <w:r>
        <w:rPr>
          <w:rFonts w:ascii="宋体" w:eastAsia="宋体" w:hAnsi="宋体" w:cs="宋体" w:hint="eastAsia"/>
          <w:kern w:val="0"/>
          <w:sz w:val="24"/>
          <w:szCs w:val="24"/>
        </w:rPr>
        <w:t>②</w:t>
      </w:r>
      <w:r>
        <w:rPr>
          <w:rFonts w:ascii="Times New Roman" w:eastAsia="宋体" w:hAnsi="Times New Roman" w:cs="Segoe UI"/>
          <w:kern w:val="0"/>
          <w:sz w:val="24"/>
          <w:szCs w:val="24"/>
        </w:rPr>
        <w:t>用户规模突破</w:t>
      </w:r>
      <w:r>
        <w:rPr>
          <w:rFonts w:ascii="Times New Roman" w:eastAsia="宋体" w:hAnsi="Times New Roman" w:cs="Segoe UI"/>
          <w:kern w:val="0"/>
          <w:sz w:val="24"/>
          <w:szCs w:val="24"/>
        </w:rPr>
        <w:t>50</w:t>
      </w:r>
      <w:r>
        <w:rPr>
          <w:rFonts w:ascii="Times New Roman" w:eastAsia="宋体" w:hAnsi="Times New Roman" w:cs="Segoe UI"/>
          <w:kern w:val="0"/>
          <w:sz w:val="24"/>
          <w:szCs w:val="24"/>
        </w:rPr>
        <w:t>万名，形成庞大的用户群体，并通过大数据分析实现个性化服务。</w:t>
      </w:r>
    </w:p>
    <w:p w14:paraId="18FECB35" w14:textId="77777777" w:rsidR="006174B2" w:rsidRDefault="00000000">
      <w:pPr>
        <w:widowControl/>
        <w:shd w:val="clear" w:color="auto" w:fill="FDFDFE"/>
        <w:spacing w:before="30" w:line="360" w:lineRule="auto"/>
        <w:ind w:firstLineChars="200" w:firstLine="480"/>
        <w:jc w:val="left"/>
        <w:rPr>
          <w:rFonts w:ascii="Times New Roman" w:eastAsia="宋体" w:hAnsi="Times New Roman" w:cs="Segoe UI"/>
          <w:kern w:val="0"/>
          <w:sz w:val="24"/>
          <w:szCs w:val="24"/>
        </w:rPr>
      </w:pPr>
      <w:r>
        <w:rPr>
          <w:rFonts w:ascii="宋体" w:eastAsia="宋体" w:hAnsi="宋体" w:cs="宋体" w:hint="eastAsia"/>
          <w:kern w:val="0"/>
          <w:sz w:val="24"/>
          <w:szCs w:val="24"/>
        </w:rPr>
        <w:t>③</w:t>
      </w:r>
      <w:r>
        <w:rPr>
          <w:rFonts w:ascii="Times New Roman" w:eastAsia="宋体" w:hAnsi="Times New Roman" w:cs="Segoe UI"/>
          <w:kern w:val="0"/>
          <w:sz w:val="24"/>
          <w:szCs w:val="24"/>
        </w:rPr>
        <w:t>与至少</w:t>
      </w:r>
      <w:r>
        <w:rPr>
          <w:rFonts w:ascii="Times New Roman" w:eastAsia="宋体" w:hAnsi="Times New Roman" w:cs="Segoe UI"/>
          <w:kern w:val="0"/>
          <w:sz w:val="24"/>
          <w:szCs w:val="24"/>
        </w:rPr>
        <w:t>10</w:t>
      </w:r>
      <w:r>
        <w:rPr>
          <w:rFonts w:ascii="Times New Roman" w:eastAsia="宋体" w:hAnsi="Times New Roman" w:cs="Segoe UI"/>
          <w:kern w:val="0"/>
          <w:sz w:val="24"/>
          <w:szCs w:val="24"/>
        </w:rPr>
        <w:t>家产业链上下游企业建立深度合作，共同推动行业标准制定和行业发展。</w:t>
      </w:r>
    </w:p>
    <w:p w14:paraId="01C67125" w14:textId="77777777" w:rsidR="006174B2" w:rsidRDefault="00000000">
      <w:pPr>
        <w:widowControl/>
        <w:shd w:val="clear" w:color="auto" w:fill="FDFDFE"/>
        <w:spacing w:before="30" w:line="360" w:lineRule="auto"/>
        <w:ind w:firstLineChars="200" w:firstLine="480"/>
        <w:jc w:val="left"/>
        <w:rPr>
          <w:rFonts w:ascii="Times New Roman" w:eastAsia="宋体" w:hAnsi="Times New Roman" w:cs="Segoe UI"/>
          <w:kern w:val="0"/>
          <w:sz w:val="24"/>
          <w:szCs w:val="24"/>
        </w:rPr>
      </w:pPr>
      <w:r>
        <w:rPr>
          <w:rFonts w:ascii="宋体" w:eastAsia="宋体" w:hAnsi="宋体" w:cs="宋体" w:hint="eastAsia"/>
          <w:kern w:val="0"/>
          <w:sz w:val="24"/>
          <w:szCs w:val="24"/>
        </w:rPr>
        <w:t>④</w:t>
      </w:r>
      <w:proofErr w:type="gramStart"/>
      <w:r>
        <w:rPr>
          <w:rFonts w:ascii="Times New Roman" w:eastAsia="宋体" w:hAnsi="Times New Roman" w:cs="Segoe UI"/>
          <w:kern w:val="0"/>
          <w:sz w:val="24"/>
          <w:szCs w:val="24"/>
        </w:rPr>
        <w:t>算力方面</w:t>
      </w:r>
      <w:proofErr w:type="gramEnd"/>
      <w:r>
        <w:rPr>
          <w:rFonts w:ascii="Times New Roman" w:eastAsia="宋体" w:hAnsi="Times New Roman" w:cs="Segoe UI"/>
          <w:kern w:val="0"/>
          <w:sz w:val="24"/>
          <w:szCs w:val="24"/>
        </w:rPr>
        <w:t>，确保充电机器人和大型</w:t>
      </w:r>
      <w:r>
        <w:rPr>
          <w:rFonts w:ascii="Times New Roman" w:eastAsia="宋体" w:hAnsi="Times New Roman" w:cs="Segoe UI" w:hint="eastAsia"/>
          <w:kern w:val="0"/>
          <w:sz w:val="24"/>
          <w:szCs w:val="24"/>
        </w:rPr>
        <w:t>应急移动储能设备</w:t>
      </w:r>
      <w:r>
        <w:rPr>
          <w:rFonts w:ascii="Times New Roman" w:eastAsia="宋体" w:hAnsi="Times New Roman" w:cs="Segoe UI"/>
          <w:kern w:val="0"/>
          <w:sz w:val="24"/>
          <w:szCs w:val="24"/>
        </w:rPr>
        <w:t>的</w:t>
      </w:r>
      <w:proofErr w:type="gramStart"/>
      <w:r>
        <w:rPr>
          <w:rFonts w:ascii="Times New Roman" w:eastAsia="宋体" w:hAnsi="Times New Roman" w:cs="Segoe UI"/>
          <w:kern w:val="0"/>
          <w:sz w:val="24"/>
          <w:szCs w:val="24"/>
        </w:rPr>
        <w:t>控制系统算力达到</w:t>
      </w:r>
      <w:proofErr w:type="gramEnd"/>
      <w:r>
        <w:rPr>
          <w:rFonts w:ascii="Times New Roman" w:eastAsia="宋体" w:hAnsi="Times New Roman" w:cs="Segoe UI"/>
          <w:kern w:val="0"/>
          <w:sz w:val="24"/>
          <w:szCs w:val="24"/>
        </w:rPr>
        <w:t>国际领先水平，支持超大规模并发充电服务。</w:t>
      </w:r>
    </w:p>
    <w:p w14:paraId="34EF5775" w14:textId="77777777" w:rsidR="006174B2" w:rsidRDefault="00000000">
      <w:pPr>
        <w:widowControl/>
        <w:shd w:val="clear" w:color="auto" w:fill="FDFDFE"/>
        <w:spacing w:beforeLines="50" w:before="156" w:afterLines="50" w:after="156"/>
        <w:jc w:val="left"/>
        <w:outlineLvl w:val="2"/>
        <w:rPr>
          <w:rFonts w:ascii="黑体" w:eastAsia="黑体" w:hAnsi="黑体" w:cs="黑体"/>
          <w:kern w:val="0"/>
          <w:sz w:val="24"/>
          <w:szCs w:val="24"/>
        </w:rPr>
      </w:pPr>
      <w:r>
        <w:rPr>
          <w:rFonts w:ascii="黑体" w:eastAsia="黑体" w:hAnsi="黑体" w:cs="黑体" w:hint="eastAsia"/>
          <w:kern w:val="0"/>
          <w:sz w:val="24"/>
          <w:szCs w:val="24"/>
        </w:rPr>
        <w:t>3.长期目标（5年以上）：</w:t>
      </w:r>
    </w:p>
    <w:p w14:paraId="5CFAF421" w14:textId="77777777" w:rsidR="006174B2" w:rsidRDefault="00000000">
      <w:pPr>
        <w:widowControl/>
        <w:shd w:val="clear" w:color="auto" w:fill="FDFDFE"/>
        <w:spacing w:line="360" w:lineRule="auto"/>
        <w:ind w:firstLineChars="200" w:firstLine="480"/>
        <w:jc w:val="left"/>
        <w:rPr>
          <w:rFonts w:ascii="Times New Roman" w:eastAsia="宋体" w:hAnsi="Times New Roman" w:cs="Segoe UI"/>
          <w:kern w:val="0"/>
          <w:sz w:val="24"/>
          <w:szCs w:val="24"/>
        </w:rPr>
      </w:pPr>
      <w:r>
        <w:rPr>
          <w:rFonts w:ascii="宋体" w:eastAsia="宋体" w:hAnsi="宋体" w:cs="宋体" w:hint="eastAsia"/>
          <w:kern w:val="0"/>
          <w:sz w:val="24"/>
          <w:szCs w:val="24"/>
        </w:rPr>
        <w:t>①</w:t>
      </w:r>
      <w:r>
        <w:rPr>
          <w:rFonts w:ascii="Times New Roman" w:eastAsia="宋体" w:hAnsi="Times New Roman" w:cs="Segoe UI"/>
          <w:kern w:val="0"/>
          <w:sz w:val="24"/>
          <w:szCs w:val="24"/>
        </w:rPr>
        <w:t>机器人规模达到惊人的</w:t>
      </w:r>
      <w:r>
        <w:rPr>
          <w:rFonts w:ascii="Times New Roman" w:eastAsia="宋体" w:hAnsi="Times New Roman" w:cs="Segoe UI" w:hint="eastAsia"/>
          <w:kern w:val="0"/>
          <w:sz w:val="24"/>
          <w:szCs w:val="24"/>
        </w:rPr>
        <w:t>1</w:t>
      </w:r>
      <w:r>
        <w:rPr>
          <w:rFonts w:ascii="Times New Roman" w:eastAsia="宋体" w:hAnsi="Times New Roman" w:cs="Segoe UI"/>
          <w:kern w:val="0"/>
          <w:sz w:val="24"/>
          <w:szCs w:val="24"/>
        </w:rPr>
        <w:t>0</w:t>
      </w:r>
      <w:r>
        <w:rPr>
          <w:rFonts w:ascii="Times New Roman" w:eastAsia="宋体" w:hAnsi="Times New Roman" w:cs="Segoe UI"/>
          <w:kern w:val="0"/>
          <w:sz w:val="24"/>
          <w:szCs w:val="24"/>
        </w:rPr>
        <w:t>万台，覆盖全球主要城市，成为全球领先的移动充电服务提供商。</w:t>
      </w:r>
    </w:p>
    <w:p w14:paraId="2274718E" w14:textId="77777777" w:rsidR="006174B2" w:rsidRDefault="00000000">
      <w:pPr>
        <w:widowControl/>
        <w:shd w:val="clear" w:color="auto" w:fill="FDFDFE"/>
        <w:spacing w:before="30" w:line="360" w:lineRule="auto"/>
        <w:ind w:firstLineChars="200" w:firstLine="480"/>
        <w:jc w:val="left"/>
        <w:rPr>
          <w:rFonts w:ascii="Times New Roman" w:eastAsia="宋体" w:hAnsi="Times New Roman" w:cs="Segoe UI"/>
          <w:kern w:val="0"/>
          <w:sz w:val="24"/>
          <w:szCs w:val="24"/>
        </w:rPr>
      </w:pPr>
      <w:r>
        <w:rPr>
          <w:rFonts w:ascii="宋体" w:eastAsia="宋体" w:hAnsi="宋体" w:cs="宋体" w:hint="eastAsia"/>
          <w:kern w:val="0"/>
          <w:sz w:val="24"/>
          <w:szCs w:val="24"/>
        </w:rPr>
        <w:t>②</w:t>
      </w:r>
      <w:r>
        <w:rPr>
          <w:rFonts w:ascii="Times New Roman" w:eastAsia="宋体" w:hAnsi="Times New Roman" w:cs="Segoe UI"/>
          <w:kern w:val="0"/>
          <w:sz w:val="24"/>
          <w:szCs w:val="24"/>
        </w:rPr>
        <w:t>用户规模突破</w:t>
      </w:r>
      <w:r>
        <w:rPr>
          <w:rFonts w:ascii="Times New Roman" w:eastAsia="宋体" w:hAnsi="Times New Roman" w:cs="Segoe UI"/>
          <w:kern w:val="0"/>
          <w:sz w:val="24"/>
          <w:szCs w:val="24"/>
        </w:rPr>
        <w:t>500</w:t>
      </w:r>
      <w:r>
        <w:rPr>
          <w:rFonts w:ascii="Times New Roman" w:eastAsia="宋体" w:hAnsi="Times New Roman" w:cs="Segoe UI"/>
          <w:kern w:val="0"/>
          <w:sz w:val="24"/>
          <w:szCs w:val="24"/>
        </w:rPr>
        <w:t>万名，成为全球范围内最具影响力的充电服务品牌。</w:t>
      </w:r>
    </w:p>
    <w:p w14:paraId="683506B6" w14:textId="77777777" w:rsidR="006174B2" w:rsidRDefault="00000000">
      <w:pPr>
        <w:widowControl/>
        <w:shd w:val="clear" w:color="auto" w:fill="FDFDFE"/>
        <w:spacing w:before="30" w:line="360" w:lineRule="auto"/>
        <w:ind w:firstLineChars="200" w:firstLine="480"/>
        <w:jc w:val="left"/>
        <w:rPr>
          <w:rFonts w:ascii="Times New Roman" w:eastAsia="宋体" w:hAnsi="Times New Roman" w:cs="Segoe UI"/>
          <w:kern w:val="0"/>
          <w:sz w:val="24"/>
          <w:szCs w:val="24"/>
        </w:rPr>
      </w:pPr>
      <w:r>
        <w:rPr>
          <w:rFonts w:ascii="宋体" w:eastAsia="宋体" w:hAnsi="宋体" w:cs="宋体" w:hint="eastAsia"/>
          <w:kern w:val="0"/>
          <w:sz w:val="24"/>
          <w:szCs w:val="24"/>
        </w:rPr>
        <w:t>③</w:t>
      </w:r>
      <w:r>
        <w:rPr>
          <w:rFonts w:ascii="Times New Roman" w:eastAsia="宋体" w:hAnsi="Times New Roman" w:cs="Segoe UI"/>
          <w:kern w:val="0"/>
          <w:sz w:val="24"/>
          <w:szCs w:val="24"/>
        </w:rPr>
        <w:t>在技术创新方面，引领全球充电机器人和大型</w:t>
      </w:r>
      <w:r>
        <w:rPr>
          <w:rFonts w:ascii="Times New Roman" w:eastAsia="宋体" w:hAnsi="Times New Roman" w:cs="Segoe UI" w:hint="eastAsia"/>
          <w:kern w:val="0"/>
          <w:sz w:val="24"/>
          <w:szCs w:val="24"/>
        </w:rPr>
        <w:t>应急移动储能设备</w:t>
      </w:r>
      <w:r>
        <w:rPr>
          <w:rFonts w:ascii="Times New Roman" w:eastAsia="宋体" w:hAnsi="Times New Roman" w:cs="Segoe UI"/>
          <w:kern w:val="0"/>
          <w:sz w:val="24"/>
          <w:szCs w:val="24"/>
        </w:rPr>
        <w:t>的技术革新，推动整个行业的进步。</w:t>
      </w:r>
    </w:p>
    <w:p w14:paraId="554F61D0" w14:textId="77777777" w:rsidR="006174B2" w:rsidRDefault="00000000">
      <w:pPr>
        <w:widowControl/>
        <w:shd w:val="clear" w:color="auto" w:fill="FDFDFE"/>
        <w:spacing w:beforeLines="50" w:before="156" w:afterLines="50" w:after="156"/>
        <w:jc w:val="left"/>
        <w:outlineLvl w:val="1"/>
        <w:rPr>
          <w:rFonts w:ascii="黑体" w:eastAsia="黑体" w:hAnsi="黑体" w:cs="黑体"/>
          <w:kern w:val="0"/>
          <w:sz w:val="28"/>
          <w:szCs w:val="28"/>
        </w:rPr>
      </w:pPr>
      <w:bookmarkStart w:id="40" w:name="_Toc13537"/>
      <w:r>
        <w:rPr>
          <w:rFonts w:ascii="黑体" w:eastAsia="黑体" w:hAnsi="黑体" w:cs="黑体" w:hint="eastAsia"/>
          <w:kern w:val="0"/>
          <w:sz w:val="28"/>
          <w:szCs w:val="28"/>
        </w:rPr>
        <w:t>8.2 里程碑</w:t>
      </w:r>
      <w:bookmarkEnd w:id="40"/>
    </w:p>
    <w:p w14:paraId="61683F67" w14:textId="77777777" w:rsidR="006174B2" w:rsidRDefault="00000000">
      <w:pPr>
        <w:widowControl/>
        <w:shd w:val="clear" w:color="auto" w:fill="FDFDFE"/>
        <w:spacing w:line="360" w:lineRule="auto"/>
        <w:ind w:leftChars="228" w:left="479"/>
        <w:jc w:val="left"/>
        <w:rPr>
          <w:rFonts w:ascii="Times New Roman" w:eastAsia="宋体" w:hAnsi="Times New Roman" w:cs="Segoe UI"/>
          <w:kern w:val="0"/>
          <w:sz w:val="24"/>
          <w:szCs w:val="24"/>
        </w:rPr>
      </w:pPr>
      <w:r>
        <w:rPr>
          <w:rFonts w:ascii="Times New Roman" w:eastAsia="宋体" w:hAnsi="Times New Roman" w:cs="Segoe UI"/>
          <w:kern w:val="0"/>
          <w:sz w:val="24"/>
          <w:szCs w:val="24"/>
        </w:rPr>
        <w:lastRenderedPageBreak/>
        <w:t>为确保项目的高效推进和目标的顺利实现，我们设定了以下里程碑事件：</w:t>
      </w:r>
    </w:p>
    <w:p w14:paraId="77554043" w14:textId="77777777" w:rsidR="006174B2" w:rsidRDefault="00000000">
      <w:pPr>
        <w:widowControl/>
        <w:shd w:val="clear" w:color="auto" w:fill="FDFDFE"/>
        <w:spacing w:line="360" w:lineRule="auto"/>
        <w:ind w:firstLineChars="200" w:firstLine="480"/>
        <w:jc w:val="left"/>
        <w:rPr>
          <w:rFonts w:ascii="Times New Roman" w:eastAsia="宋体" w:hAnsi="Times New Roman" w:cs="Segoe UI"/>
          <w:kern w:val="0"/>
          <w:sz w:val="24"/>
          <w:szCs w:val="24"/>
        </w:rPr>
      </w:pPr>
      <w:r>
        <w:rPr>
          <w:rFonts w:ascii="宋体" w:eastAsia="宋体" w:hAnsi="宋体" w:cs="宋体" w:hint="eastAsia"/>
          <w:kern w:val="0"/>
          <w:sz w:val="24"/>
          <w:szCs w:val="24"/>
        </w:rPr>
        <w:t>①</w:t>
      </w:r>
      <w:r>
        <w:rPr>
          <w:rFonts w:ascii="Times New Roman" w:eastAsia="宋体" w:hAnsi="Times New Roman" w:cs="Segoe UI"/>
          <w:kern w:val="0"/>
          <w:sz w:val="24"/>
          <w:szCs w:val="24"/>
        </w:rPr>
        <w:t>产品研发完成并启动全国范围试点运营：标志着项目从技术到市场的全面准备就绪。</w:t>
      </w:r>
    </w:p>
    <w:p w14:paraId="1C8F2F1F" w14:textId="77777777" w:rsidR="006174B2" w:rsidRDefault="00000000">
      <w:pPr>
        <w:widowControl/>
        <w:shd w:val="clear" w:color="auto" w:fill="FDFDFE"/>
        <w:spacing w:before="30" w:line="360" w:lineRule="auto"/>
        <w:ind w:firstLineChars="200" w:firstLine="480"/>
        <w:jc w:val="left"/>
        <w:rPr>
          <w:rFonts w:ascii="Times New Roman" w:eastAsia="宋体" w:hAnsi="Times New Roman" w:cs="Segoe UI"/>
          <w:kern w:val="0"/>
          <w:sz w:val="24"/>
          <w:szCs w:val="24"/>
        </w:rPr>
      </w:pPr>
      <w:r>
        <w:rPr>
          <w:rFonts w:ascii="宋体" w:eastAsia="宋体" w:hAnsi="宋体" w:cs="宋体" w:hint="eastAsia"/>
          <w:kern w:val="0"/>
          <w:sz w:val="24"/>
          <w:szCs w:val="24"/>
        </w:rPr>
        <w:t>②</w:t>
      </w:r>
      <w:r>
        <w:rPr>
          <w:rFonts w:ascii="Times New Roman" w:eastAsia="宋体" w:hAnsi="Times New Roman" w:cs="Segoe UI"/>
          <w:kern w:val="0"/>
          <w:sz w:val="24"/>
          <w:szCs w:val="24"/>
        </w:rPr>
        <w:t>机器人规模突破</w:t>
      </w:r>
      <w:r>
        <w:rPr>
          <w:rFonts w:ascii="Times New Roman" w:eastAsia="宋体" w:hAnsi="Times New Roman" w:cs="Segoe UI"/>
          <w:kern w:val="0"/>
          <w:sz w:val="24"/>
          <w:szCs w:val="24"/>
        </w:rPr>
        <w:t>1000</w:t>
      </w:r>
      <w:r>
        <w:rPr>
          <w:rFonts w:ascii="Times New Roman" w:eastAsia="宋体" w:hAnsi="Times New Roman" w:cs="Segoe UI"/>
          <w:kern w:val="0"/>
          <w:sz w:val="24"/>
          <w:szCs w:val="24"/>
        </w:rPr>
        <w:t>台，用户规模达到</w:t>
      </w:r>
      <w:r>
        <w:rPr>
          <w:rFonts w:ascii="Times New Roman" w:eastAsia="宋体" w:hAnsi="Times New Roman" w:cs="Segoe UI"/>
          <w:kern w:val="0"/>
          <w:sz w:val="24"/>
          <w:szCs w:val="24"/>
        </w:rPr>
        <w:t>10</w:t>
      </w:r>
      <w:r>
        <w:rPr>
          <w:rFonts w:ascii="Times New Roman" w:eastAsia="宋体" w:hAnsi="Times New Roman" w:cs="Segoe UI"/>
          <w:kern w:val="0"/>
          <w:sz w:val="24"/>
          <w:szCs w:val="24"/>
        </w:rPr>
        <w:t>万名：证明我司产品在市场上的强大吸引力和广阔前景。</w:t>
      </w:r>
    </w:p>
    <w:p w14:paraId="3C0F7794" w14:textId="77777777" w:rsidR="006174B2" w:rsidRDefault="00000000">
      <w:pPr>
        <w:widowControl/>
        <w:shd w:val="clear" w:color="auto" w:fill="FDFDFE"/>
        <w:spacing w:before="30" w:line="360" w:lineRule="auto"/>
        <w:ind w:firstLineChars="200" w:firstLine="480"/>
        <w:jc w:val="left"/>
        <w:rPr>
          <w:rFonts w:ascii="Times New Roman" w:eastAsia="宋体" w:hAnsi="Times New Roman" w:cs="Segoe UI"/>
          <w:kern w:val="0"/>
          <w:sz w:val="24"/>
          <w:szCs w:val="24"/>
        </w:rPr>
      </w:pPr>
      <w:r>
        <w:rPr>
          <w:rFonts w:ascii="宋体" w:eastAsia="宋体" w:hAnsi="宋体" w:cs="宋体" w:hint="eastAsia"/>
          <w:kern w:val="0"/>
          <w:sz w:val="24"/>
          <w:szCs w:val="24"/>
        </w:rPr>
        <w:t>③</w:t>
      </w:r>
      <w:r>
        <w:rPr>
          <w:rFonts w:ascii="Times New Roman" w:eastAsia="宋体" w:hAnsi="Times New Roman" w:cs="Segoe UI"/>
          <w:kern w:val="0"/>
          <w:sz w:val="24"/>
          <w:szCs w:val="24"/>
        </w:rPr>
        <w:t>覆盖</w:t>
      </w:r>
      <w:r>
        <w:rPr>
          <w:rFonts w:ascii="Times New Roman" w:eastAsia="宋体" w:hAnsi="Times New Roman" w:cs="Segoe UI"/>
          <w:kern w:val="0"/>
          <w:sz w:val="24"/>
          <w:szCs w:val="24"/>
        </w:rPr>
        <w:t>50</w:t>
      </w:r>
      <w:r>
        <w:rPr>
          <w:rFonts w:ascii="Times New Roman" w:eastAsia="宋体" w:hAnsi="Times New Roman" w:cs="Segoe UI"/>
          <w:kern w:val="0"/>
          <w:sz w:val="24"/>
          <w:szCs w:val="24"/>
        </w:rPr>
        <w:t>个城市并实现中期财务目标：证明项目在全国范围内的成功推广和盈利能力。</w:t>
      </w:r>
    </w:p>
    <w:p w14:paraId="386B2EE6" w14:textId="77777777" w:rsidR="006174B2" w:rsidRDefault="00000000">
      <w:pPr>
        <w:widowControl/>
        <w:shd w:val="clear" w:color="auto" w:fill="FDFDFE"/>
        <w:spacing w:before="30" w:line="360" w:lineRule="auto"/>
        <w:ind w:firstLineChars="200" w:firstLine="480"/>
        <w:jc w:val="left"/>
        <w:rPr>
          <w:rFonts w:ascii="Times New Roman" w:eastAsia="宋体" w:hAnsi="Times New Roman" w:cs="Segoe UI"/>
          <w:kern w:val="0"/>
          <w:sz w:val="24"/>
          <w:szCs w:val="24"/>
        </w:rPr>
      </w:pPr>
      <w:r>
        <w:rPr>
          <w:rFonts w:ascii="宋体" w:eastAsia="宋体" w:hAnsi="宋体" w:cs="宋体" w:hint="eastAsia"/>
          <w:kern w:val="0"/>
          <w:sz w:val="24"/>
          <w:szCs w:val="24"/>
        </w:rPr>
        <w:t>④</w:t>
      </w:r>
      <w:r>
        <w:rPr>
          <w:rFonts w:ascii="Times New Roman" w:eastAsia="宋体" w:hAnsi="Times New Roman" w:cs="Segoe UI"/>
          <w:kern w:val="0"/>
          <w:sz w:val="24"/>
          <w:szCs w:val="24"/>
        </w:rPr>
        <w:t>用规模突破</w:t>
      </w:r>
      <w:r>
        <w:rPr>
          <w:rFonts w:ascii="Times New Roman" w:eastAsia="宋体" w:hAnsi="Times New Roman" w:cs="Segoe UI"/>
          <w:kern w:val="0"/>
          <w:sz w:val="24"/>
          <w:szCs w:val="24"/>
        </w:rPr>
        <w:t>500</w:t>
      </w:r>
      <w:r>
        <w:rPr>
          <w:rFonts w:ascii="Times New Roman" w:eastAsia="宋体" w:hAnsi="Times New Roman" w:cs="Segoe UI"/>
          <w:kern w:val="0"/>
          <w:sz w:val="24"/>
          <w:szCs w:val="24"/>
        </w:rPr>
        <w:t>万名，机器人规模达到</w:t>
      </w:r>
      <w:r>
        <w:rPr>
          <w:rFonts w:ascii="Times New Roman" w:eastAsia="宋体" w:hAnsi="Times New Roman" w:cs="Segoe UI"/>
          <w:kern w:val="0"/>
          <w:sz w:val="24"/>
          <w:szCs w:val="24"/>
        </w:rPr>
        <w:t>1</w:t>
      </w:r>
      <w:r>
        <w:rPr>
          <w:rFonts w:ascii="Times New Roman" w:eastAsia="宋体" w:hAnsi="Times New Roman" w:cs="Segoe UI"/>
          <w:kern w:val="0"/>
          <w:sz w:val="24"/>
          <w:szCs w:val="24"/>
        </w:rPr>
        <w:t>万台：标志着项目在全球范围内的广泛认可和影响力。</w:t>
      </w:r>
    </w:p>
    <w:p w14:paraId="02F307FF" w14:textId="77777777" w:rsidR="006174B2" w:rsidRDefault="00000000">
      <w:pPr>
        <w:widowControl/>
        <w:shd w:val="clear" w:color="auto" w:fill="FDFDFE"/>
        <w:spacing w:before="30" w:line="360" w:lineRule="auto"/>
        <w:ind w:firstLineChars="200" w:firstLine="480"/>
        <w:jc w:val="left"/>
        <w:rPr>
          <w:rFonts w:ascii="Times New Roman" w:eastAsia="宋体" w:hAnsi="Times New Roman" w:cs="Segoe UI"/>
          <w:kern w:val="0"/>
          <w:sz w:val="24"/>
          <w:szCs w:val="24"/>
        </w:rPr>
      </w:pPr>
      <w:r>
        <w:rPr>
          <w:rFonts w:ascii="宋体" w:eastAsia="宋体" w:hAnsi="宋体" w:cs="宋体" w:hint="eastAsia"/>
          <w:kern w:val="0"/>
          <w:sz w:val="24"/>
          <w:szCs w:val="24"/>
        </w:rPr>
        <w:t>⑤</w:t>
      </w:r>
      <w:r>
        <w:rPr>
          <w:rFonts w:ascii="Times New Roman" w:eastAsia="宋体" w:hAnsi="Times New Roman" w:cs="Segoe UI"/>
          <w:kern w:val="0"/>
          <w:sz w:val="24"/>
          <w:szCs w:val="24"/>
        </w:rPr>
        <w:t>成为全球领先的移动充电服务提供商：实现长期目标，奠定公司在全球充电服务行业的领导地位。</w:t>
      </w:r>
    </w:p>
    <w:p w14:paraId="40867E54" w14:textId="77777777" w:rsidR="006174B2" w:rsidRDefault="00000000">
      <w:pPr>
        <w:widowControl/>
        <w:shd w:val="clear" w:color="auto" w:fill="FDFDFE"/>
        <w:spacing w:before="30" w:line="360" w:lineRule="auto"/>
        <w:ind w:firstLineChars="200" w:firstLine="480"/>
        <w:jc w:val="left"/>
        <w:rPr>
          <w:rFonts w:ascii="Times New Roman" w:eastAsia="宋体" w:hAnsi="Times New Roman" w:cs="Segoe UI"/>
          <w:kern w:val="0"/>
          <w:sz w:val="24"/>
          <w:szCs w:val="24"/>
        </w:rPr>
      </w:pPr>
      <w:r>
        <w:rPr>
          <w:rFonts w:ascii="Times New Roman" w:eastAsia="宋体" w:hAnsi="Times New Roman" w:cs="Segoe UI"/>
          <w:kern w:val="0"/>
          <w:sz w:val="24"/>
          <w:szCs w:val="24"/>
        </w:rPr>
        <w:t>这些大胆且具体的目标与里程碑，将激励我们不断前行，确保项目在技术研发、市场推广、业务拓展和财务盈利等方面取得卓越的成果，实现公司的长远发展目标。</w:t>
      </w:r>
    </w:p>
    <w:p w14:paraId="02A93B4E" w14:textId="77777777" w:rsidR="006174B2" w:rsidRDefault="006174B2">
      <w:pPr>
        <w:widowControl/>
        <w:shd w:val="clear" w:color="auto" w:fill="FDFDFE"/>
        <w:spacing w:beforeLines="50" w:before="156" w:afterLines="50" w:after="156"/>
        <w:ind w:firstLine="656"/>
        <w:jc w:val="center"/>
        <w:outlineLvl w:val="0"/>
        <w:rPr>
          <w:rFonts w:ascii="黑体" w:eastAsia="黑体" w:hAnsi="黑体" w:cs="黑体"/>
          <w:kern w:val="0"/>
          <w:sz w:val="32"/>
          <w:szCs w:val="32"/>
        </w:rPr>
      </w:pPr>
    </w:p>
    <w:p w14:paraId="3154E133" w14:textId="77777777" w:rsidR="006174B2" w:rsidRDefault="00000000">
      <w:pPr>
        <w:widowControl/>
        <w:shd w:val="clear" w:color="auto" w:fill="FDFDFE"/>
        <w:spacing w:beforeLines="50" w:before="156" w:afterLines="50" w:after="156"/>
        <w:ind w:firstLine="656"/>
        <w:jc w:val="center"/>
        <w:outlineLvl w:val="0"/>
        <w:rPr>
          <w:rFonts w:ascii="黑体" w:eastAsia="黑体" w:hAnsi="黑体" w:cs="黑体"/>
          <w:kern w:val="0"/>
          <w:sz w:val="32"/>
          <w:szCs w:val="32"/>
        </w:rPr>
      </w:pPr>
      <w:bookmarkStart w:id="41" w:name="_Toc17260"/>
      <w:r>
        <w:rPr>
          <w:rFonts w:ascii="黑体" w:eastAsia="黑体" w:hAnsi="黑体" w:cs="黑体" w:hint="eastAsia"/>
          <w:kern w:val="0"/>
          <w:sz w:val="32"/>
          <w:szCs w:val="32"/>
        </w:rPr>
        <w:t>九、总结与展望</w:t>
      </w:r>
      <w:bookmarkEnd w:id="41"/>
    </w:p>
    <w:p w14:paraId="20502E69" w14:textId="77777777" w:rsidR="006174B2" w:rsidRDefault="00000000">
      <w:pPr>
        <w:widowControl/>
        <w:shd w:val="clear" w:color="auto" w:fill="FDFDFE"/>
        <w:spacing w:line="360" w:lineRule="auto"/>
        <w:ind w:firstLineChars="200" w:firstLine="480"/>
        <w:rPr>
          <w:rFonts w:ascii="宋体" w:eastAsia="宋体" w:hAnsi="宋体" w:cs="Segoe UI"/>
          <w:kern w:val="0"/>
          <w:sz w:val="24"/>
          <w:szCs w:val="24"/>
        </w:rPr>
      </w:pPr>
      <w:r>
        <w:rPr>
          <w:rFonts w:ascii="宋体" w:eastAsia="宋体" w:hAnsi="宋体" w:cs="Segoe UI" w:hint="eastAsia"/>
          <w:kern w:val="0"/>
          <w:sz w:val="24"/>
          <w:szCs w:val="24"/>
        </w:rPr>
        <w:t>本商业计划书旨在详细阐述我们的创意主旨、产品或服务效果、市场前景、商业模式、运营计划与营销策略、团队组成与管理、财务预测与投资回报以及风险评估与应对措施。我们相信通过全面的市场分析和精准的营销策略，我们的项目将具备强大的市场竞争力和广阔的发展前景。</w:t>
      </w:r>
    </w:p>
    <w:p w14:paraId="3F112432" w14:textId="77777777" w:rsidR="006174B2" w:rsidRDefault="00000000">
      <w:pPr>
        <w:widowControl/>
        <w:shd w:val="clear" w:color="auto" w:fill="FDFDFE"/>
        <w:spacing w:line="360" w:lineRule="auto"/>
        <w:ind w:firstLineChars="200" w:firstLine="480"/>
        <w:rPr>
          <w:rFonts w:ascii="Segoe UI" w:eastAsia="宋体" w:hAnsi="Segoe UI" w:cs="Segoe UI"/>
          <w:kern w:val="0"/>
          <w:sz w:val="24"/>
          <w:szCs w:val="24"/>
        </w:rPr>
      </w:pPr>
      <w:r>
        <w:rPr>
          <w:rFonts w:ascii="宋体" w:eastAsia="宋体" w:hAnsi="宋体" w:cs="Segoe UI" w:hint="eastAsia"/>
          <w:kern w:val="0"/>
          <w:sz w:val="24"/>
          <w:szCs w:val="24"/>
        </w:rPr>
        <w:t>展望未来，我们将继续秉承创新驱动和客户至上的理念，不断优化产品和服务，拓展市场份额，实现可持续发展。同时，我们也期待与更多志同道合的合作伙伴携手共进，共同推动绿色出行和应急电力事业的发展。</w:t>
      </w:r>
    </w:p>
    <w:p w14:paraId="0FA678E5" w14:textId="77777777" w:rsidR="006174B2" w:rsidRDefault="00000000">
      <w:pPr>
        <w:widowControl/>
        <w:shd w:val="clear" w:color="auto" w:fill="FDFDFE"/>
        <w:spacing w:beforeLines="50" w:before="156" w:afterLines="50" w:after="156"/>
        <w:jc w:val="center"/>
        <w:rPr>
          <w:rFonts w:ascii="黑体" w:eastAsia="黑体" w:hAnsi="黑体" w:cs="黑体"/>
          <w:kern w:val="0"/>
          <w:sz w:val="32"/>
          <w:szCs w:val="32"/>
        </w:rPr>
      </w:pPr>
      <w:r>
        <w:rPr>
          <w:rFonts w:ascii="黑体" w:eastAsia="黑体" w:hAnsi="黑体" w:cs="黑体" w:hint="eastAsia"/>
          <w:kern w:val="0"/>
          <w:sz w:val="32"/>
          <w:szCs w:val="32"/>
        </w:rPr>
        <w:t>十、参考文献</w:t>
      </w:r>
    </w:p>
    <w:p w14:paraId="00789DCC" w14:textId="77777777" w:rsidR="006174B2" w:rsidRDefault="00000000">
      <w:pPr>
        <w:widowControl/>
        <w:shd w:val="clear" w:color="auto" w:fill="FDFDFE"/>
        <w:spacing w:line="360" w:lineRule="auto"/>
        <w:jc w:val="left"/>
        <w:rPr>
          <w:rFonts w:ascii="Segoe UI" w:eastAsia="宋体" w:hAnsi="Segoe UI" w:cs="Segoe UI"/>
          <w:kern w:val="0"/>
          <w:sz w:val="23"/>
          <w:szCs w:val="23"/>
        </w:rPr>
      </w:pPr>
      <w:r>
        <w:rPr>
          <w:rFonts w:ascii="宋体" w:eastAsia="宋体" w:hAnsi="宋体" w:cs="宋体"/>
          <w:sz w:val="24"/>
          <w:szCs w:val="24"/>
        </w:rPr>
        <w:t>[1]李贤,娄竞,许大卫等. 基于北斗卫星导航的电力应急物资智能调配系统的研究[C]//中国电力科学研究院有限公司,</w:t>
      </w:r>
      <w:proofErr w:type="gramStart"/>
      <w:r>
        <w:rPr>
          <w:rFonts w:ascii="宋体" w:eastAsia="宋体" w:hAnsi="宋体" w:cs="宋体"/>
          <w:sz w:val="24"/>
          <w:szCs w:val="24"/>
        </w:rPr>
        <w:t>国网电</w:t>
      </w:r>
      <w:proofErr w:type="gramEnd"/>
      <w:r>
        <w:rPr>
          <w:rFonts w:ascii="宋体" w:eastAsia="宋体" w:hAnsi="宋体" w:cs="宋体"/>
          <w:sz w:val="24"/>
          <w:szCs w:val="24"/>
        </w:rPr>
        <w:t>投（北京）科技中心.全国智能用电工程建设经验交流会论文集(2020年).[出版者不详],2020:6.DOI:10.26914/c.cnkihy.2020.063054.</w:t>
      </w:r>
      <w:r>
        <w:rPr>
          <w:rFonts w:ascii="宋体" w:eastAsia="宋体" w:hAnsi="宋体" w:cs="宋体"/>
          <w:sz w:val="24"/>
          <w:szCs w:val="24"/>
        </w:rPr>
        <w:br/>
      </w:r>
      <w:r>
        <w:rPr>
          <w:rFonts w:ascii="宋体" w:eastAsia="宋体" w:hAnsi="宋体" w:cs="宋体"/>
          <w:sz w:val="24"/>
          <w:szCs w:val="24"/>
        </w:rPr>
        <w:lastRenderedPageBreak/>
        <w:t>[2]莫沃林.供电企业应急电力物资智能仓储与调配管理中物联网技术应用分析[J].现代经济信息,2019(21):324+326.</w:t>
      </w:r>
      <w:r>
        <w:rPr>
          <w:rFonts w:ascii="宋体" w:eastAsia="宋体" w:hAnsi="宋体" w:cs="宋体"/>
          <w:sz w:val="24"/>
          <w:szCs w:val="24"/>
        </w:rPr>
        <w:br/>
        <w:t>[3]安明,杨志东,朱军等.基于物联网技术的应急电力物资智能仓储与调配管理研究[J].中国市场,2018(04):136-137.DOI:10.13939/j.cnki.zgsc.2018.04.136.</w:t>
      </w:r>
      <w:r>
        <w:rPr>
          <w:rFonts w:ascii="宋体" w:eastAsia="宋体" w:hAnsi="宋体" w:cs="宋体"/>
          <w:sz w:val="24"/>
          <w:szCs w:val="24"/>
        </w:rPr>
        <w:br/>
        <w:t>[4]徐郁,朱韵</w:t>
      </w:r>
      <w:proofErr w:type="gramStart"/>
      <w:r>
        <w:rPr>
          <w:rFonts w:ascii="宋体" w:eastAsia="宋体" w:hAnsi="宋体" w:cs="宋体"/>
          <w:sz w:val="24"/>
          <w:szCs w:val="24"/>
        </w:rPr>
        <w:t>攸</w:t>
      </w:r>
      <w:proofErr w:type="gramEnd"/>
      <w:r>
        <w:rPr>
          <w:rFonts w:ascii="宋体" w:eastAsia="宋体" w:hAnsi="宋体" w:cs="宋体"/>
          <w:sz w:val="24"/>
          <w:szCs w:val="24"/>
        </w:rPr>
        <w:t>,刘筱等.基于深度强化学习的电力物资配送多目标路径优化[J].计算机应用,2022,42(10):3252-3258.</w:t>
      </w:r>
      <w:r>
        <w:rPr>
          <w:rFonts w:ascii="宋体" w:eastAsia="宋体" w:hAnsi="宋体" w:cs="宋体"/>
          <w:sz w:val="24"/>
          <w:szCs w:val="24"/>
        </w:rPr>
        <w:br/>
        <w:t>[5]宫寅林,</w:t>
      </w:r>
      <w:proofErr w:type="gramStart"/>
      <w:r>
        <w:rPr>
          <w:rFonts w:ascii="宋体" w:eastAsia="宋体" w:hAnsi="宋体" w:cs="宋体"/>
          <w:sz w:val="24"/>
          <w:szCs w:val="24"/>
        </w:rPr>
        <w:t>王民涛</w:t>
      </w:r>
      <w:proofErr w:type="gramEnd"/>
      <w:r>
        <w:rPr>
          <w:rFonts w:ascii="宋体" w:eastAsia="宋体" w:hAnsi="宋体" w:cs="宋体"/>
          <w:sz w:val="24"/>
          <w:szCs w:val="24"/>
        </w:rPr>
        <w:t>.基于深度卷积神经网络的电力物资运输车辆调度优化算法研究[J].机械设计与制造工程,2023,52(11):106-110.</w:t>
      </w:r>
      <w:r>
        <w:rPr>
          <w:rFonts w:ascii="宋体" w:eastAsia="宋体" w:hAnsi="宋体" w:cs="宋体"/>
          <w:sz w:val="24"/>
          <w:szCs w:val="24"/>
        </w:rPr>
        <w:br/>
        <w:t>[6]</w:t>
      </w:r>
      <w:proofErr w:type="gramStart"/>
      <w:r>
        <w:rPr>
          <w:rFonts w:ascii="宋体" w:eastAsia="宋体" w:hAnsi="宋体" w:cs="宋体"/>
          <w:sz w:val="24"/>
          <w:szCs w:val="24"/>
        </w:rPr>
        <w:t>肖逸思</w:t>
      </w:r>
      <w:proofErr w:type="gramEnd"/>
      <w:r>
        <w:rPr>
          <w:rFonts w:ascii="宋体" w:eastAsia="宋体" w:hAnsi="宋体" w:cs="宋体"/>
          <w:sz w:val="24"/>
          <w:szCs w:val="24"/>
        </w:rPr>
        <w:t>.自动驾驶公司下场做汽车“移动充电宝”[N].第一财经日报,2024-01-22(A09).DOI:10.28207/n.cnki.ndycj.2024.000299.</w:t>
      </w:r>
      <w:r>
        <w:rPr>
          <w:rFonts w:ascii="宋体" w:eastAsia="宋体" w:hAnsi="宋体" w:cs="宋体"/>
          <w:sz w:val="24"/>
          <w:szCs w:val="24"/>
        </w:rPr>
        <w:br/>
        <w:t>[7]蔡榕,李洁,刘乙等.基于大数据的智能移动充电桩调度方法设计与实现[J].机器人技术与应用,2023,(06):45-48.</w:t>
      </w:r>
      <w:r>
        <w:rPr>
          <w:rFonts w:ascii="宋体" w:eastAsia="宋体" w:hAnsi="宋体" w:cs="宋体"/>
          <w:sz w:val="24"/>
          <w:szCs w:val="24"/>
        </w:rPr>
        <w:br/>
        <w:t>[8]</w:t>
      </w:r>
      <w:proofErr w:type="gramStart"/>
      <w:r>
        <w:rPr>
          <w:rFonts w:ascii="宋体" w:eastAsia="宋体" w:hAnsi="宋体" w:cs="宋体"/>
          <w:sz w:val="24"/>
          <w:szCs w:val="24"/>
        </w:rPr>
        <w:t>席志远</w:t>
      </w:r>
      <w:proofErr w:type="gramEnd"/>
      <w:r>
        <w:rPr>
          <w:rFonts w:ascii="宋体" w:eastAsia="宋体" w:hAnsi="宋体" w:cs="宋体"/>
          <w:sz w:val="24"/>
          <w:szCs w:val="24"/>
        </w:rPr>
        <w:t>.基于联邦学习的空闲移动充电站调度算法研究[D].南京邮电大学,2023.DOI:10.27251/d.cnki.gnjdc.2023.002017.</w:t>
      </w:r>
      <w:r>
        <w:rPr>
          <w:rFonts w:ascii="宋体" w:eastAsia="宋体" w:hAnsi="宋体" w:cs="宋体"/>
          <w:sz w:val="24"/>
          <w:szCs w:val="24"/>
        </w:rPr>
        <w:br/>
        <w:t>[9]李松柏.基于深度强化学习的物流车队配送路径规划及库内分拣作业路径优化研究[J].互联网周刊,2024,(02):28-30.</w:t>
      </w:r>
      <w:r>
        <w:rPr>
          <w:rFonts w:ascii="宋体" w:eastAsia="宋体" w:hAnsi="宋体" w:cs="宋体"/>
          <w:sz w:val="24"/>
          <w:szCs w:val="24"/>
        </w:rPr>
        <w:br/>
        <w:t>[10]</w:t>
      </w:r>
      <w:proofErr w:type="gramStart"/>
      <w:r>
        <w:rPr>
          <w:rFonts w:ascii="宋体" w:eastAsia="宋体" w:hAnsi="宋体" w:cs="宋体"/>
          <w:sz w:val="24"/>
          <w:szCs w:val="24"/>
        </w:rPr>
        <w:t>骆香茹</w:t>
      </w:r>
      <w:proofErr w:type="gramEnd"/>
      <w:r>
        <w:rPr>
          <w:rFonts w:ascii="宋体" w:eastAsia="宋体" w:hAnsi="宋体" w:cs="宋体"/>
          <w:sz w:val="24"/>
          <w:szCs w:val="24"/>
        </w:rPr>
        <w:t>,陈瑜.国家电网智慧车联网平台：为新能源汽车充电设施装上“智慧大脑”[N].科技日报,2023-07-18(005).DOI:10.28502/n.cnki.nkjrb.2023.003963.</w:t>
      </w:r>
      <w:r>
        <w:rPr>
          <w:rFonts w:ascii="宋体" w:eastAsia="宋体" w:hAnsi="宋体" w:cs="宋体"/>
          <w:sz w:val="24"/>
          <w:szCs w:val="24"/>
        </w:rPr>
        <w:br/>
        <w:t>[11]谈耿,赵雄峰,丁福军等.基于物联网的智慧充电桩控制系统设计[J].电子技术与软件工程,2023,(02):154-157.</w:t>
      </w:r>
      <w:r>
        <w:rPr>
          <w:rFonts w:ascii="宋体" w:eastAsia="宋体" w:hAnsi="宋体" w:cs="宋体"/>
          <w:sz w:val="24"/>
          <w:szCs w:val="24"/>
        </w:rPr>
        <w:br/>
        <w:t>[12]徐路钧,</w:t>
      </w:r>
      <w:proofErr w:type="gramStart"/>
      <w:r>
        <w:rPr>
          <w:rFonts w:ascii="宋体" w:eastAsia="宋体" w:hAnsi="宋体" w:cs="宋体"/>
          <w:sz w:val="24"/>
          <w:szCs w:val="24"/>
        </w:rPr>
        <w:t>赵戊生</w:t>
      </w:r>
      <w:proofErr w:type="gramEnd"/>
      <w:r>
        <w:rPr>
          <w:rFonts w:ascii="宋体" w:eastAsia="宋体" w:hAnsi="宋体" w:cs="宋体"/>
          <w:sz w:val="24"/>
          <w:szCs w:val="24"/>
        </w:rPr>
        <w:t>.基于ARIMA模型企业自由现金流量的预测[J].商业观察,2023,9(20):41-47.</w:t>
      </w:r>
      <w:r>
        <w:rPr>
          <w:rFonts w:ascii="Segoe UI" w:eastAsia="宋体" w:hAnsi="Segoe UI" w:cs="Segoe UI" w:hint="eastAsia"/>
          <w:kern w:val="0"/>
          <w:sz w:val="23"/>
          <w:szCs w:val="23"/>
        </w:rPr>
        <w:t xml:space="preserve"> </w:t>
      </w:r>
    </w:p>
    <w:p w14:paraId="2E4A3BDB" w14:textId="77777777" w:rsidR="006174B2" w:rsidRDefault="00000000">
      <w:r>
        <w:rPr>
          <w:rFonts w:hint="eastAsia"/>
        </w:rPr>
        <w:t xml:space="preserve"> </w:t>
      </w:r>
    </w:p>
    <w:p w14:paraId="70E7027E" w14:textId="77777777" w:rsidR="006174B2" w:rsidRDefault="00000000">
      <w:r>
        <w:rPr>
          <w:rFonts w:hint="eastAsia"/>
        </w:rPr>
        <w:t xml:space="preserve"> </w:t>
      </w:r>
    </w:p>
    <w:p w14:paraId="6957A17B" w14:textId="77777777" w:rsidR="006174B2" w:rsidRDefault="006174B2"/>
    <w:sectPr w:rsidR="006174B2">
      <w:headerReference w:type="default" r:id="rId12"/>
      <w:footerReference w:type="default" r:id="rId13"/>
      <w:pgSz w:w="11906" w:h="16838"/>
      <w:pgMar w:top="1417" w:right="1134" w:bottom="1417"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13B8A7" w14:textId="77777777" w:rsidR="00574385" w:rsidRDefault="00574385">
      <w:r>
        <w:separator/>
      </w:r>
    </w:p>
  </w:endnote>
  <w:endnote w:type="continuationSeparator" w:id="0">
    <w:p w14:paraId="40FAB5F8" w14:textId="77777777" w:rsidR="00574385" w:rsidRDefault="00574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ngLiU_HKSCS">
    <w:altName w:val="Adobe 明體 Std L"/>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PingFang-SC-Regular">
    <w:altName w:val="Cambria"/>
    <w:charset w:val="00"/>
    <w:family w:val="auto"/>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11E9C" w14:textId="77777777" w:rsidR="006174B2" w:rsidRDefault="00000000">
    <w:pPr>
      <w:pStyle w:val="a3"/>
    </w:pPr>
    <w:r>
      <w:rPr>
        <w:noProof/>
      </w:rPr>
      <mc:AlternateContent>
        <mc:Choice Requires="wps">
          <w:drawing>
            <wp:anchor distT="0" distB="0" distL="114300" distR="114300" simplePos="0" relativeHeight="251660288" behindDoc="0" locked="0" layoutInCell="1" allowOverlap="1" wp14:anchorId="0BFCF834" wp14:editId="02CA9492">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EE2D93" w14:textId="77777777" w:rsidR="006174B2"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BFCF834" id="_x0000_t202" coordsize="21600,21600" o:spt="202" path="m,l,21600r21600,l21600,xe">
              <v:stroke joinstyle="miter"/>
              <v:path gradientshapeok="t" o:connecttype="rect"/>
            </v:shapetype>
            <v:shape id="文本框 10"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1EE2D93" w14:textId="77777777" w:rsidR="006174B2"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71AAC" w14:textId="77777777" w:rsidR="006174B2" w:rsidRDefault="00000000">
    <w:pPr>
      <w:pStyle w:val="a3"/>
      <w:ind w:firstLine="360"/>
    </w:pPr>
    <w:r>
      <w:rPr>
        <w:noProof/>
      </w:rPr>
      <mc:AlternateContent>
        <mc:Choice Requires="wps">
          <w:drawing>
            <wp:anchor distT="0" distB="0" distL="114300" distR="114300" simplePos="0" relativeHeight="251659264" behindDoc="0" locked="0" layoutInCell="1" allowOverlap="1" wp14:anchorId="30B268ED" wp14:editId="4770154E">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14E8B5" w14:textId="77777777" w:rsidR="006174B2" w:rsidRDefault="00000000">
                          <w:pPr>
                            <w:pStyle w:val="a3"/>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0B268ED" id="_x0000_t202" coordsize="21600,21600" o:spt="202" path="m,l,21600r21600,l21600,xe">
              <v:stroke joinstyle="miter"/>
              <v:path gradientshapeok="t" o:connecttype="rect"/>
            </v:shapetype>
            <v:shape id="文本框 4"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4014E8B5" w14:textId="77777777" w:rsidR="006174B2" w:rsidRDefault="00000000">
                    <w:pPr>
                      <w:pStyle w:val="a3"/>
                    </w:pPr>
                    <w:r>
                      <w:fldChar w:fldCharType="begin"/>
                    </w:r>
                    <w:r>
                      <w:instrText xml:space="preserve"> PAGE  \* MERGEFORMAT </w:instrText>
                    </w:r>
                    <w:r>
                      <w:fldChar w:fldCharType="separate"/>
                    </w:r>
                    <w:r>
                      <w:t>4</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0539C" w14:textId="77777777" w:rsidR="00574385" w:rsidRDefault="00574385">
      <w:r>
        <w:separator/>
      </w:r>
    </w:p>
  </w:footnote>
  <w:footnote w:type="continuationSeparator" w:id="0">
    <w:p w14:paraId="3D5EDAAE" w14:textId="77777777" w:rsidR="00574385" w:rsidRDefault="00574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4FD98" w14:textId="77777777" w:rsidR="006174B2" w:rsidRDefault="00000000">
    <w:pPr>
      <w:pStyle w:val="a5"/>
      <w:ind w:firstLine="376"/>
      <w:rPr>
        <w:rFonts w:ascii="宋体" w:eastAsia="宋体" w:hAnsi="宋体" w:cs="宋体"/>
      </w:rPr>
    </w:pPr>
    <w:r>
      <w:rPr>
        <w:rFonts w:ascii="宋体" w:eastAsia="宋体" w:hAnsi="宋体" w:cs="宋体" w:hint="eastAsia"/>
      </w:rPr>
      <w:t>中国农业大学 强农杯 创新创业大赛学生参赛作品</w:t>
    </w:r>
  </w:p>
  <w:p w14:paraId="0121736F" w14:textId="77777777" w:rsidR="006174B2" w:rsidRDefault="006174B2">
    <w:pPr>
      <w:pStyle w:val="a5"/>
      <w:ind w:firstLine="37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Y3ZjkzYTJhNzNiNjVlMGYwOGFjMmJlMmZlODc0NzQifQ=="/>
  </w:docVars>
  <w:rsids>
    <w:rsidRoot w:val="005F4B4F"/>
    <w:rsid w:val="00174C83"/>
    <w:rsid w:val="001B1B3E"/>
    <w:rsid w:val="001B6F97"/>
    <w:rsid w:val="001F5FA4"/>
    <w:rsid w:val="00236E44"/>
    <w:rsid w:val="002C6686"/>
    <w:rsid w:val="003326CD"/>
    <w:rsid w:val="003C28DE"/>
    <w:rsid w:val="004273B3"/>
    <w:rsid w:val="004635AD"/>
    <w:rsid w:val="004D02EF"/>
    <w:rsid w:val="005163FF"/>
    <w:rsid w:val="00517FF6"/>
    <w:rsid w:val="00553E8E"/>
    <w:rsid w:val="00574385"/>
    <w:rsid w:val="005F4B4F"/>
    <w:rsid w:val="006174B2"/>
    <w:rsid w:val="0066591B"/>
    <w:rsid w:val="006E655E"/>
    <w:rsid w:val="007309C1"/>
    <w:rsid w:val="00751B30"/>
    <w:rsid w:val="007A177F"/>
    <w:rsid w:val="00831B95"/>
    <w:rsid w:val="00897A23"/>
    <w:rsid w:val="008E5DE2"/>
    <w:rsid w:val="009A1261"/>
    <w:rsid w:val="009B1293"/>
    <w:rsid w:val="009F3C6A"/>
    <w:rsid w:val="00A07C16"/>
    <w:rsid w:val="00BD07CD"/>
    <w:rsid w:val="00CC2C2C"/>
    <w:rsid w:val="00CC5BD1"/>
    <w:rsid w:val="00CD609F"/>
    <w:rsid w:val="00CE632C"/>
    <w:rsid w:val="00D71F06"/>
    <w:rsid w:val="00E8530D"/>
    <w:rsid w:val="00F411AA"/>
    <w:rsid w:val="00F50250"/>
    <w:rsid w:val="00F717BE"/>
    <w:rsid w:val="00F7571E"/>
    <w:rsid w:val="01113D6B"/>
    <w:rsid w:val="017037C3"/>
    <w:rsid w:val="01A26771"/>
    <w:rsid w:val="0204567E"/>
    <w:rsid w:val="02641C78"/>
    <w:rsid w:val="049A4077"/>
    <w:rsid w:val="05AD1B88"/>
    <w:rsid w:val="069A3EBB"/>
    <w:rsid w:val="06BD087A"/>
    <w:rsid w:val="070D0B30"/>
    <w:rsid w:val="0843731D"/>
    <w:rsid w:val="091A5787"/>
    <w:rsid w:val="09654377"/>
    <w:rsid w:val="09840E52"/>
    <w:rsid w:val="09DC2A3C"/>
    <w:rsid w:val="0A083831"/>
    <w:rsid w:val="0BD87233"/>
    <w:rsid w:val="0CE95B9C"/>
    <w:rsid w:val="0CFB58CF"/>
    <w:rsid w:val="0D130D6C"/>
    <w:rsid w:val="0D70006B"/>
    <w:rsid w:val="0E5C65DD"/>
    <w:rsid w:val="0EC817E1"/>
    <w:rsid w:val="11867E5D"/>
    <w:rsid w:val="12687563"/>
    <w:rsid w:val="13021765"/>
    <w:rsid w:val="13CE1647"/>
    <w:rsid w:val="14496F20"/>
    <w:rsid w:val="1478486D"/>
    <w:rsid w:val="14C12F5A"/>
    <w:rsid w:val="150D43F1"/>
    <w:rsid w:val="155E2E9F"/>
    <w:rsid w:val="15826B8D"/>
    <w:rsid w:val="15E2762C"/>
    <w:rsid w:val="16A36AB3"/>
    <w:rsid w:val="17233A58"/>
    <w:rsid w:val="18BC2DEF"/>
    <w:rsid w:val="19004DB6"/>
    <w:rsid w:val="1A9262D8"/>
    <w:rsid w:val="1C533032"/>
    <w:rsid w:val="1C5B3C94"/>
    <w:rsid w:val="1D2D5631"/>
    <w:rsid w:val="1D3D339A"/>
    <w:rsid w:val="1D9531D6"/>
    <w:rsid w:val="1E3B1FCF"/>
    <w:rsid w:val="1E8C45D9"/>
    <w:rsid w:val="1FA94D17"/>
    <w:rsid w:val="20517888"/>
    <w:rsid w:val="224F1BA5"/>
    <w:rsid w:val="22EB1154"/>
    <w:rsid w:val="2412732E"/>
    <w:rsid w:val="24A7216D"/>
    <w:rsid w:val="24FB7DC2"/>
    <w:rsid w:val="252B4B4C"/>
    <w:rsid w:val="265E2CFF"/>
    <w:rsid w:val="26BE554B"/>
    <w:rsid w:val="26BE72FA"/>
    <w:rsid w:val="26DD1E76"/>
    <w:rsid w:val="27D019DA"/>
    <w:rsid w:val="28920A3E"/>
    <w:rsid w:val="28CE1684"/>
    <w:rsid w:val="294E0E09"/>
    <w:rsid w:val="2BE21CDC"/>
    <w:rsid w:val="2CC6515A"/>
    <w:rsid w:val="2D170146"/>
    <w:rsid w:val="2D630BFB"/>
    <w:rsid w:val="312608BD"/>
    <w:rsid w:val="332A3C18"/>
    <w:rsid w:val="34FF56AD"/>
    <w:rsid w:val="35325A82"/>
    <w:rsid w:val="35E86141"/>
    <w:rsid w:val="360949B7"/>
    <w:rsid w:val="383B2EA0"/>
    <w:rsid w:val="38AA5930"/>
    <w:rsid w:val="3A573895"/>
    <w:rsid w:val="3B111C96"/>
    <w:rsid w:val="3C634773"/>
    <w:rsid w:val="3C8A1D00"/>
    <w:rsid w:val="3E817133"/>
    <w:rsid w:val="3F7B0026"/>
    <w:rsid w:val="40955117"/>
    <w:rsid w:val="41140732"/>
    <w:rsid w:val="41AA2E44"/>
    <w:rsid w:val="42A96C58"/>
    <w:rsid w:val="42B17978"/>
    <w:rsid w:val="43135D99"/>
    <w:rsid w:val="44BF6C07"/>
    <w:rsid w:val="44F87A23"/>
    <w:rsid w:val="46116FEE"/>
    <w:rsid w:val="4803505C"/>
    <w:rsid w:val="480C2163"/>
    <w:rsid w:val="4832149E"/>
    <w:rsid w:val="48547666"/>
    <w:rsid w:val="487F0B87"/>
    <w:rsid w:val="48B85BE7"/>
    <w:rsid w:val="48EB621C"/>
    <w:rsid w:val="49935F6C"/>
    <w:rsid w:val="49BE748D"/>
    <w:rsid w:val="49EF7646"/>
    <w:rsid w:val="4AB614DB"/>
    <w:rsid w:val="4AF62C56"/>
    <w:rsid w:val="4BA44460"/>
    <w:rsid w:val="4C1B2975"/>
    <w:rsid w:val="4CEE4DC5"/>
    <w:rsid w:val="4D01600E"/>
    <w:rsid w:val="4D17315F"/>
    <w:rsid w:val="4E52289A"/>
    <w:rsid w:val="4F563CC4"/>
    <w:rsid w:val="4F8545A9"/>
    <w:rsid w:val="504B75A0"/>
    <w:rsid w:val="51B64EEE"/>
    <w:rsid w:val="52100AA2"/>
    <w:rsid w:val="528F7C18"/>
    <w:rsid w:val="53000B16"/>
    <w:rsid w:val="530C1269"/>
    <w:rsid w:val="537F5EDF"/>
    <w:rsid w:val="55766E6E"/>
    <w:rsid w:val="56786C15"/>
    <w:rsid w:val="56C360E3"/>
    <w:rsid w:val="57C32112"/>
    <w:rsid w:val="5A117165"/>
    <w:rsid w:val="5B062A42"/>
    <w:rsid w:val="5B4B2B4A"/>
    <w:rsid w:val="5C221AFD"/>
    <w:rsid w:val="5C8B3F62"/>
    <w:rsid w:val="5CF36FF6"/>
    <w:rsid w:val="5E070FAB"/>
    <w:rsid w:val="5F5C70D4"/>
    <w:rsid w:val="5F6847A5"/>
    <w:rsid w:val="5F921CDC"/>
    <w:rsid w:val="5F9E149B"/>
    <w:rsid w:val="63C416EC"/>
    <w:rsid w:val="63DC4C88"/>
    <w:rsid w:val="64485E79"/>
    <w:rsid w:val="648570CD"/>
    <w:rsid w:val="64EE4C72"/>
    <w:rsid w:val="668F4233"/>
    <w:rsid w:val="66EA24BB"/>
    <w:rsid w:val="67B0620F"/>
    <w:rsid w:val="69A2602B"/>
    <w:rsid w:val="69FC1BE0"/>
    <w:rsid w:val="6B2111D2"/>
    <w:rsid w:val="6B6712DB"/>
    <w:rsid w:val="6BD91127"/>
    <w:rsid w:val="6CB611D0"/>
    <w:rsid w:val="6E753D0F"/>
    <w:rsid w:val="6FA80114"/>
    <w:rsid w:val="6FAB550E"/>
    <w:rsid w:val="714E4C91"/>
    <w:rsid w:val="71FB277D"/>
    <w:rsid w:val="72E6342D"/>
    <w:rsid w:val="73F27BAF"/>
    <w:rsid w:val="740B666E"/>
    <w:rsid w:val="74C85173"/>
    <w:rsid w:val="75846F2D"/>
    <w:rsid w:val="759E3B4B"/>
    <w:rsid w:val="75CD4430"/>
    <w:rsid w:val="75E1612D"/>
    <w:rsid w:val="76262FC3"/>
    <w:rsid w:val="76766876"/>
    <w:rsid w:val="79FC7092"/>
    <w:rsid w:val="7ABD2CC5"/>
    <w:rsid w:val="7BCB31C0"/>
    <w:rsid w:val="7CDB7433"/>
    <w:rsid w:val="7D893333"/>
    <w:rsid w:val="7E3F1F31"/>
    <w:rsid w:val="7F393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B474"/>
  <w15:docId w15:val="{200F0113-629B-4CD9-A1DD-92915ADF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等线" w:eastAsia="等线" w:hAnsi="等线"/>
      <w:kern w:val="2"/>
      <w:sz w:val="21"/>
      <w:szCs w:val="21"/>
    </w:rPr>
  </w:style>
  <w:style w:type="paragraph" w:styleId="4">
    <w:name w:val="heading 4"/>
    <w:basedOn w:val="a"/>
    <w:next w:val="a"/>
    <w:link w:val="40"/>
    <w:autoRedefine/>
    <w:uiPriority w:val="99"/>
    <w:qFormat/>
    <w:pPr>
      <w:keepNext/>
      <w:keepLines/>
      <w:spacing w:before="80" w:after="40"/>
      <w:outlineLvl w:val="3"/>
    </w:pPr>
    <w:rPr>
      <w:color w:val="2F5496"/>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semiHidden/>
    <w:unhideWhenUsed/>
    <w:qFormat/>
    <w:pPr>
      <w:ind w:leftChars="400" w:left="840"/>
    </w:pPr>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styleId="a5">
    <w:name w:val="header"/>
    <w:basedOn w:val="a"/>
    <w:link w:val="a6"/>
    <w:autoRedefine/>
    <w:uiPriority w:val="99"/>
    <w:unhideWhenUsed/>
    <w:qFormat/>
    <w:pPr>
      <w:tabs>
        <w:tab w:val="center" w:pos="4153"/>
        <w:tab w:val="right" w:pos="8306"/>
      </w:tabs>
      <w:snapToGrid w:val="0"/>
      <w:jc w:val="center"/>
    </w:pPr>
    <w:rPr>
      <w:sz w:val="18"/>
      <w:szCs w:val="18"/>
    </w:rPr>
  </w:style>
  <w:style w:type="paragraph" w:styleId="TOC1">
    <w:name w:val="toc 1"/>
    <w:basedOn w:val="a"/>
    <w:next w:val="a"/>
    <w:autoRedefine/>
    <w:uiPriority w:val="39"/>
    <w:semiHidden/>
    <w:unhideWhenUsed/>
    <w:qFormat/>
  </w:style>
  <w:style w:type="paragraph" w:styleId="TOC2">
    <w:name w:val="toc 2"/>
    <w:basedOn w:val="a"/>
    <w:next w:val="a"/>
    <w:autoRedefine/>
    <w:uiPriority w:val="39"/>
    <w:semiHidden/>
    <w:unhideWhenUsed/>
    <w:qFormat/>
    <w:pPr>
      <w:ind w:leftChars="200" w:left="420"/>
    </w:pPr>
  </w:style>
  <w:style w:type="paragraph" w:styleId="a7">
    <w:name w:val="Normal (Web)"/>
    <w:basedOn w:val="a"/>
    <w:autoRedefine/>
    <w:uiPriority w:val="99"/>
    <w:semiHidden/>
    <w:unhideWhenUsed/>
    <w:qFormat/>
    <w:pPr>
      <w:spacing w:before="100" w:beforeAutospacing="1" w:after="100" w:afterAutospacing="1"/>
      <w:jc w:val="left"/>
    </w:pPr>
    <w:rPr>
      <w:kern w:val="0"/>
      <w:sz w:val="24"/>
      <w:szCs w:val="24"/>
    </w:rPr>
  </w:style>
  <w:style w:type="table" w:styleId="a8">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qFormat/>
    <w:rPr>
      <w:color w:val="0000FF"/>
      <w:u w:val="single"/>
    </w:rPr>
  </w:style>
  <w:style w:type="character" w:customStyle="1" w:styleId="a6">
    <w:name w:val="页眉 字符"/>
    <w:basedOn w:val="a0"/>
    <w:link w:val="a5"/>
    <w:autoRedefine/>
    <w:uiPriority w:val="99"/>
    <w:qFormat/>
    <w:rPr>
      <w:sz w:val="18"/>
      <w:szCs w:val="18"/>
    </w:rPr>
  </w:style>
  <w:style w:type="character" w:customStyle="1" w:styleId="a4">
    <w:name w:val="页脚 字符"/>
    <w:basedOn w:val="a0"/>
    <w:link w:val="a3"/>
    <w:autoRedefine/>
    <w:uiPriority w:val="99"/>
    <w:qFormat/>
    <w:rPr>
      <w:sz w:val="18"/>
      <w:szCs w:val="18"/>
    </w:rPr>
  </w:style>
  <w:style w:type="character" w:customStyle="1" w:styleId="40">
    <w:name w:val="标题 4 字符"/>
    <w:basedOn w:val="a0"/>
    <w:link w:val="4"/>
    <w:autoRedefine/>
    <w:uiPriority w:val="99"/>
    <w:qFormat/>
    <w:rPr>
      <w:rFonts w:ascii="等线" w:eastAsia="等线" w:hAnsi="等线" w:cs="Times New Roman"/>
      <w:color w:val="2F5496"/>
      <w:sz w:val="28"/>
      <w:szCs w:val="28"/>
      <w14:ligatures w14:val="none"/>
    </w:rPr>
  </w:style>
  <w:style w:type="paragraph" w:customStyle="1" w:styleId="1">
    <w:name w:val="列表段落1"/>
    <w:basedOn w:val="a"/>
    <w:autoRedefine/>
    <w:qFormat/>
    <w:pPr>
      <w:ind w:firstLineChars="200" w:firstLine="420"/>
    </w:pPr>
  </w:style>
  <w:style w:type="character" w:customStyle="1" w:styleId="15">
    <w:name w:val="15"/>
    <w:basedOn w:val="a0"/>
    <w:autoRedefine/>
    <w:qFormat/>
    <w:rPr>
      <w:rFonts w:ascii="Times New Roman" w:hAnsi="Times New Roman" w:cs="Times New Roman" w:hint="default"/>
      <w:b/>
    </w:rPr>
  </w:style>
  <w:style w:type="paragraph" w:customStyle="1" w:styleId="2">
    <w:name w:val="列表段落2"/>
    <w:basedOn w:val="a"/>
    <w:autoRedefine/>
    <w:qFormat/>
    <w:pPr>
      <w:ind w:firstLineChars="200" w:firstLine="420"/>
    </w:pPr>
  </w:style>
  <w:style w:type="paragraph" w:styleId="aa">
    <w:name w:val="List Paragraph"/>
    <w:basedOn w:val="a"/>
    <w:autoRedefine/>
    <w:uiPriority w:val="34"/>
    <w:qFormat/>
    <w:pPr>
      <w:ind w:firstLineChars="200" w:firstLine="420"/>
    </w:pPr>
  </w:style>
  <w:style w:type="paragraph" w:customStyle="1" w:styleId="WPSOffice1">
    <w:name w:val="WPSOffice手动目录 1"/>
    <w:autoRedefine/>
    <w:qFormat/>
    <w:rPr>
      <w:rFonts w:asciiTheme="minorHAnsi" w:eastAsiaTheme="minorEastAsia" w:hAnsiTheme="minorHAnsi" w:cstheme="minorBidi"/>
    </w:rPr>
  </w:style>
  <w:style w:type="paragraph" w:customStyle="1" w:styleId="WPSOffice2">
    <w:name w:val="WPSOffice手动目录 2"/>
    <w:autoRedefine/>
    <w:qFormat/>
    <w:pPr>
      <w:ind w:leftChars="200" w:left="200"/>
    </w:pPr>
    <w:rPr>
      <w:rFonts w:asciiTheme="minorHAnsi" w:eastAsiaTheme="minorEastAsia" w:hAnsiTheme="minorHAnsi" w:cstheme="minorBidi"/>
    </w:rPr>
  </w:style>
  <w:style w:type="paragraph" w:customStyle="1" w:styleId="WPSOffice3">
    <w:name w:val="WPSOffice手动目录 3"/>
    <w:autoRedefine/>
    <w:qFormat/>
    <w:pPr>
      <w:ind w:leftChars="400" w:left="400"/>
    </w:pPr>
    <w:rPr>
      <w:rFonts w:asciiTheme="minorHAnsi" w:eastAsiaTheme="minorEastAsia" w:hAnsiTheme="minorHAnsi" w:cstheme="minorBidi"/>
    </w:rPr>
  </w:style>
  <w:style w:type="character" w:styleId="ab">
    <w:name w:val="Placeholder Text"/>
    <w:basedOn w:val="a0"/>
    <w:autoRedefine/>
    <w:uiPriority w:val="99"/>
    <w:unhideWhenUsed/>
    <w:qFormat/>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25</Pages>
  <Words>2847</Words>
  <Characters>16233</Characters>
  <Application>Microsoft Office Word</Application>
  <DocSecurity>0</DocSecurity>
  <Lines>135</Lines>
  <Paragraphs>38</Paragraphs>
  <ScaleCrop>false</ScaleCrop>
  <Company/>
  <LinksUpToDate>false</LinksUpToDate>
  <CharactersWithSpaces>19042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sina</dc:creator>
  <cp:lastModifiedBy>a sina</cp:lastModifiedBy>
  <cp:revision>5</cp:revision>
  <dcterms:created xsi:type="dcterms:W3CDTF">2024-03-23T03:30:00Z</dcterms:created>
  <dcterms:modified xsi:type="dcterms:W3CDTF">2024-03-24T23:57:00Z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3DD3C8517F514A0789A2C8DC0B75E701_13</vt:lpwstr>
  </property>
</Properties>
</file>